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AF8" w:rsidRPr="009D7AF8" w:rsidRDefault="009D7AF8" w:rsidP="009D7AF8">
      <w:pPr>
        <w:rPr>
          <w:rFonts w:cs="Arial"/>
          <w:b/>
          <w:bCs/>
          <w:sz w:val="28"/>
          <w:szCs w:val="28"/>
          <w:lang w:eastAsia="en-US"/>
        </w:rPr>
      </w:pPr>
      <w:r w:rsidRPr="009D7AF8">
        <w:rPr>
          <w:rFonts w:cs="Arial"/>
          <w:b/>
          <w:bCs/>
          <w:sz w:val="28"/>
          <w:szCs w:val="28"/>
          <w:lang w:eastAsia="en-US"/>
        </w:rPr>
        <w:t>DELEGATED DECISION RECORD</w:t>
      </w:r>
      <w:r w:rsidRPr="009D7AF8">
        <w:rPr>
          <w:rFonts w:cs="Arial"/>
          <w:b/>
          <w:bCs/>
          <w:sz w:val="28"/>
          <w:szCs w:val="28"/>
          <w:lang w:eastAsia="en-US"/>
        </w:rPr>
        <w:tab/>
        <w:t>REF: 21/78615/COU</w:t>
      </w:r>
    </w:p>
    <w:p w:rsidR="009D7AF8" w:rsidRPr="009D7AF8" w:rsidRDefault="009D7AF8" w:rsidP="009D7AF8">
      <w:pPr>
        <w:rPr>
          <w:rFonts w:cs="Arial"/>
          <w:sz w:val="20"/>
          <w:szCs w:val="20"/>
          <w:lang w:eastAsia="en-US"/>
        </w:rPr>
      </w:pPr>
    </w:p>
    <w:p w:rsidR="009D7AF8" w:rsidRPr="009D7AF8" w:rsidRDefault="009D7AF8" w:rsidP="009D7AF8">
      <w:pPr>
        <w:rPr>
          <w:rFonts w:cs="Arial"/>
          <w:b/>
          <w:bCs/>
          <w:sz w:val="20"/>
          <w:szCs w:val="20"/>
          <w:lang w:eastAsia="en-US"/>
        </w:rPr>
      </w:pPr>
      <w:r w:rsidRPr="009D7AF8">
        <w:rPr>
          <w:rFonts w:cs="Arial"/>
          <w:b/>
          <w:bCs/>
          <w:sz w:val="20"/>
          <w:szCs w:val="20"/>
          <w:lang w:eastAsia="en-US"/>
        </w:rPr>
        <w:t>Address:</w:t>
      </w:r>
      <w:r w:rsidRPr="009D7AF8">
        <w:rPr>
          <w:rFonts w:cs="Arial"/>
          <w:b/>
          <w:bCs/>
          <w:sz w:val="20"/>
          <w:szCs w:val="20"/>
          <w:lang w:eastAsia="en-US"/>
        </w:rPr>
        <w:tab/>
        <w:t xml:space="preserve">120 </w:t>
      </w:r>
      <w:proofErr w:type="spellStart"/>
      <w:r w:rsidRPr="009D7AF8">
        <w:rPr>
          <w:rFonts w:cs="Arial"/>
          <w:b/>
          <w:bCs/>
          <w:sz w:val="20"/>
          <w:szCs w:val="20"/>
          <w:lang w:eastAsia="en-US"/>
        </w:rPr>
        <w:t>Fitzwarren</w:t>
      </w:r>
      <w:proofErr w:type="spellEnd"/>
      <w:r w:rsidRPr="009D7AF8">
        <w:rPr>
          <w:rFonts w:cs="Arial"/>
          <w:b/>
          <w:bCs/>
          <w:sz w:val="20"/>
          <w:szCs w:val="20"/>
          <w:lang w:eastAsia="en-US"/>
        </w:rPr>
        <w:t xml:space="preserve"> Street, Salford, M6 5RS</w:t>
      </w:r>
    </w:p>
    <w:p w:rsidR="009D7AF8" w:rsidRPr="009D7AF8" w:rsidRDefault="009D7AF8" w:rsidP="009D7AF8">
      <w:pPr>
        <w:rPr>
          <w:rFonts w:cs="Arial"/>
          <w:b/>
          <w:bCs/>
          <w:sz w:val="20"/>
          <w:szCs w:val="20"/>
          <w:lang w:eastAsia="en-US"/>
        </w:rPr>
      </w:pPr>
      <w:r w:rsidRPr="009D7AF8">
        <w:rPr>
          <w:rFonts w:cs="Arial"/>
          <w:b/>
          <w:bCs/>
          <w:sz w:val="20"/>
          <w:szCs w:val="20"/>
          <w:lang w:eastAsia="en-US"/>
        </w:rPr>
        <w:t>Proposal:</w:t>
      </w:r>
      <w:r w:rsidRPr="009D7AF8">
        <w:rPr>
          <w:rFonts w:cs="Arial"/>
          <w:b/>
          <w:bCs/>
          <w:sz w:val="20"/>
          <w:szCs w:val="20"/>
          <w:lang w:eastAsia="en-US"/>
        </w:rPr>
        <w:tab/>
        <w:t>Change of use from C3 (dwelling) to a C4 HMO  (4 residents) Re-submission of 21/77433/COU</w:t>
      </w:r>
    </w:p>
    <w:p w:rsidR="009D7AF8" w:rsidRPr="009D7AF8" w:rsidRDefault="009D7AF8" w:rsidP="009D7AF8">
      <w:pPr>
        <w:pBdr>
          <w:bottom w:val="single" w:sz="4" w:space="1" w:color="auto"/>
        </w:pBdr>
        <w:rPr>
          <w:rFonts w:cs="Arial"/>
          <w:b/>
          <w:bCs/>
          <w:sz w:val="20"/>
          <w:szCs w:val="20"/>
          <w:lang w:eastAsia="en-US"/>
        </w:rPr>
      </w:pPr>
    </w:p>
    <w:p w:rsidR="009D7AF8" w:rsidRPr="009D7AF8" w:rsidRDefault="009D7AF8" w:rsidP="009D7AF8">
      <w:pPr>
        <w:rPr>
          <w:rFonts w:cs="Arial"/>
          <w:b/>
          <w:bCs/>
          <w:sz w:val="20"/>
          <w:szCs w:val="20"/>
          <w:lang w:eastAsia="en-US"/>
        </w:rPr>
      </w:pPr>
    </w:p>
    <w:p w:rsidR="009D7AF8" w:rsidRPr="009D7AF8" w:rsidRDefault="009D7AF8" w:rsidP="009D7AF8">
      <w:pPr>
        <w:rPr>
          <w:rFonts w:cs="Arial"/>
          <w:b/>
          <w:bCs/>
          <w:sz w:val="20"/>
          <w:szCs w:val="20"/>
          <w:lang w:eastAsia="en-US"/>
        </w:rPr>
      </w:pPr>
      <w:r w:rsidRPr="009D7AF8">
        <w:rPr>
          <w:rFonts w:cs="Arial"/>
          <w:b/>
          <w:bCs/>
          <w:sz w:val="20"/>
          <w:szCs w:val="20"/>
          <w:lang w:eastAsia="en-US"/>
        </w:rPr>
        <w:t>Reason for delay beyond stat deadline and EoT: N/A</w:t>
      </w:r>
    </w:p>
    <w:p w:rsidR="009D7AF8" w:rsidRPr="009D7AF8" w:rsidRDefault="009D7AF8" w:rsidP="009D7AF8">
      <w:pPr>
        <w:pBdr>
          <w:bottom w:val="single" w:sz="4" w:space="1" w:color="auto"/>
        </w:pBdr>
        <w:rPr>
          <w:rFonts w:cs="Arial"/>
          <w:b/>
          <w:bCs/>
          <w:sz w:val="20"/>
          <w:szCs w:val="20"/>
          <w:lang w:eastAsia="en-US"/>
        </w:rPr>
      </w:pPr>
    </w:p>
    <w:p w:rsidR="009D7AF8" w:rsidRPr="009D7AF8" w:rsidRDefault="009D7AF8" w:rsidP="009D7AF8">
      <w:pPr>
        <w:pBdr>
          <w:bottom w:val="single" w:sz="4" w:space="1" w:color="auto"/>
        </w:pBdr>
        <w:rPr>
          <w:rFonts w:cs="Arial"/>
          <w:b/>
          <w:bCs/>
          <w:sz w:val="20"/>
          <w:szCs w:val="20"/>
          <w:lang w:eastAsia="en-US"/>
        </w:rPr>
      </w:pPr>
      <w:r w:rsidRPr="009D7AF8">
        <w:rPr>
          <w:rFonts w:cs="Arial"/>
          <w:b/>
          <w:bCs/>
          <w:sz w:val="20"/>
          <w:szCs w:val="20"/>
          <w:lang w:eastAsia="en-US"/>
        </w:rPr>
        <w:t>Have all pre-commencement conditions been agreed with the applicant? N/A</w:t>
      </w:r>
    </w:p>
    <w:p w:rsidR="009D7AF8" w:rsidRPr="009D7AF8" w:rsidRDefault="009D7AF8" w:rsidP="009D7AF8">
      <w:pPr>
        <w:pBdr>
          <w:bottom w:val="single" w:sz="4" w:space="1" w:color="auto"/>
        </w:pBdr>
        <w:rPr>
          <w:rFonts w:cs="Arial"/>
          <w:b/>
          <w:bCs/>
          <w:sz w:val="20"/>
          <w:szCs w:val="20"/>
          <w:lang w:eastAsia="en-US"/>
        </w:rPr>
      </w:pP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b/>
          <w:sz w:val="20"/>
          <w:szCs w:val="20"/>
          <w:u w:val="single"/>
          <w:lang w:eastAsia="en-US"/>
        </w:rPr>
        <w:t xml:space="preserve">Description of Site and Surrounding Area </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 xml:space="preserve">The application relates to a terraced residential dwelling on </w:t>
      </w:r>
      <w:proofErr w:type="spellStart"/>
      <w:r w:rsidRPr="009D7AF8">
        <w:rPr>
          <w:rFonts w:cs="Arial"/>
          <w:sz w:val="20"/>
          <w:szCs w:val="20"/>
          <w:lang w:eastAsia="en-US"/>
        </w:rPr>
        <w:t>Fitzwarren</w:t>
      </w:r>
      <w:proofErr w:type="spellEnd"/>
      <w:r w:rsidRPr="009D7AF8">
        <w:rPr>
          <w:rFonts w:cs="Arial"/>
          <w:sz w:val="20"/>
          <w:szCs w:val="20"/>
          <w:lang w:eastAsia="en-US"/>
        </w:rPr>
        <w:t xml:space="preserve"> Street, Salford. The existing dwelling was previously in use as a dwelling house (C3). The terrace comprises of a large row of dwellings which are set on the back edge of the pavement. The property is two storey’s and is constructed out of brick with a tiled roof. The dwelling is located in a predominantly residential area. </w:t>
      </w:r>
    </w:p>
    <w:p w:rsidR="009D7AF8" w:rsidRPr="009D7AF8" w:rsidRDefault="009D7AF8" w:rsidP="009D7AF8">
      <w:pPr>
        <w:rPr>
          <w:rFonts w:cs="Arial"/>
          <w:sz w:val="20"/>
          <w:szCs w:val="20"/>
          <w:lang w:eastAsia="en-US"/>
        </w:rPr>
      </w:pPr>
    </w:p>
    <w:p w:rsidR="009D7AF8" w:rsidRPr="009D7AF8" w:rsidRDefault="009D7AF8" w:rsidP="009D7AF8">
      <w:pPr>
        <w:overflowPunct w:val="0"/>
        <w:autoSpaceDE w:val="0"/>
        <w:autoSpaceDN w:val="0"/>
        <w:adjustRightInd w:val="0"/>
        <w:spacing w:line="24" w:lineRule="atLeast"/>
        <w:textAlignment w:val="baseline"/>
        <w:rPr>
          <w:sz w:val="20"/>
          <w:szCs w:val="22"/>
          <w:u w:val="single"/>
          <w:lang w:eastAsia="en-US"/>
        </w:rPr>
      </w:pPr>
      <w:r w:rsidRPr="009D7AF8">
        <w:rPr>
          <w:sz w:val="20"/>
          <w:szCs w:val="22"/>
          <w:lang w:eastAsia="en-US"/>
        </w:rPr>
        <w:t>There are other residential properties within the locality, mostly comprising 1900s terraced housing.</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There are no parking restrictions directly to the front of the application site. The rear of the site is accessed via an ‘</w:t>
      </w:r>
      <w:proofErr w:type="spellStart"/>
      <w:r w:rsidRPr="009D7AF8">
        <w:rPr>
          <w:rFonts w:cs="Arial"/>
          <w:sz w:val="20"/>
          <w:szCs w:val="20"/>
          <w:lang w:eastAsia="en-US"/>
        </w:rPr>
        <w:t>alleygated</w:t>
      </w:r>
      <w:proofErr w:type="spellEnd"/>
      <w:r w:rsidRPr="009D7AF8">
        <w:rPr>
          <w:rFonts w:cs="Arial"/>
          <w:sz w:val="20"/>
          <w:szCs w:val="20"/>
          <w:lang w:eastAsia="en-US"/>
        </w:rPr>
        <w:t>’ access passageway off Wall Street or Liverpool Street.</w:t>
      </w:r>
    </w:p>
    <w:p w:rsidR="009D7AF8" w:rsidRPr="009D7AF8" w:rsidRDefault="009D7AF8" w:rsidP="009D7AF8">
      <w:pPr>
        <w:rPr>
          <w:rFonts w:cs="Arial"/>
          <w:sz w:val="20"/>
          <w:szCs w:val="20"/>
          <w:lang w:eastAsia="en-US"/>
        </w:rPr>
      </w:pPr>
    </w:p>
    <w:p w:rsidR="009D7AF8" w:rsidRPr="009D7AF8" w:rsidRDefault="009D7AF8" w:rsidP="009D7AF8">
      <w:pPr>
        <w:rPr>
          <w:rFonts w:cs="Arial"/>
          <w:b/>
          <w:sz w:val="20"/>
          <w:szCs w:val="20"/>
          <w:u w:val="single"/>
          <w:lang w:eastAsia="en-US"/>
        </w:rPr>
      </w:pPr>
      <w:r w:rsidRPr="009D7AF8">
        <w:rPr>
          <w:rFonts w:cs="Arial"/>
          <w:b/>
          <w:sz w:val="20"/>
          <w:szCs w:val="20"/>
          <w:u w:val="single"/>
          <w:lang w:eastAsia="en-US"/>
        </w:rPr>
        <w:t xml:space="preserve">Description of Proposal </w:t>
      </w:r>
    </w:p>
    <w:p w:rsidR="009D7AF8" w:rsidRPr="009D7AF8" w:rsidRDefault="009D7AF8" w:rsidP="009D7AF8">
      <w:pPr>
        <w:rPr>
          <w:rFonts w:cs="Arial"/>
          <w:b/>
          <w:sz w:val="20"/>
          <w:szCs w:val="20"/>
          <w:u w:val="single"/>
          <w:lang w:eastAsia="en-US"/>
        </w:rPr>
      </w:pPr>
    </w:p>
    <w:p w:rsidR="009D7AF8" w:rsidRPr="009D7AF8" w:rsidRDefault="009D7AF8" w:rsidP="009D7AF8">
      <w:pPr>
        <w:rPr>
          <w:rFonts w:cs="Arial"/>
          <w:i/>
          <w:sz w:val="20"/>
          <w:szCs w:val="20"/>
          <w:lang w:eastAsia="en-US"/>
        </w:rPr>
      </w:pPr>
      <w:r w:rsidRPr="009D7AF8">
        <w:rPr>
          <w:rFonts w:cs="Arial"/>
          <w:i/>
          <w:sz w:val="20"/>
          <w:szCs w:val="20"/>
          <w:lang w:eastAsia="en-US"/>
        </w:rPr>
        <w:t>Background</w:t>
      </w:r>
    </w:p>
    <w:p w:rsidR="009D7AF8" w:rsidRPr="009D7AF8" w:rsidRDefault="009D7AF8" w:rsidP="009D7AF8">
      <w:pPr>
        <w:rPr>
          <w:rFonts w:cs="Arial"/>
          <w:b/>
          <w:sz w:val="20"/>
          <w:szCs w:val="20"/>
          <w:u w:val="single"/>
          <w:lang w:eastAsia="en-US"/>
        </w:rPr>
      </w:pPr>
    </w:p>
    <w:p w:rsidR="009D7AF8" w:rsidRPr="009D7AF8" w:rsidRDefault="009D7AF8" w:rsidP="009D7AF8">
      <w:pPr>
        <w:rPr>
          <w:rFonts w:cs="Arial"/>
          <w:sz w:val="20"/>
          <w:szCs w:val="20"/>
          <w:lang w:val="en" w:eastAsia="en-US"/>
        </w:rPr>
      </w:pPr>
      <w:r w:rsidRPr="009D7AF8">
        <w:rPr>
          <w:rFonts w:cs="Arial"/>
          <w:sz w:val="20"/>
          <w:szCs w:val="20"/>
          <w:lang w:val="en" w:eastAsia="en-US"/>
        </w:rPr>
        <w:t xml:space="preserve">The change of use of a typical </w:t>
      </w:r>
      <w:proofErr w:type="spellStart"/>
      <w:r w:rsidRPr="009D7AF8">
        <w:rPr>
          <w:rFonts w:cs="Arial"/>
          <w:sz w:val="20"/>
          <w:szCs w:val="20"/>
          <w:lang w:val="en" w:eastAsia="en-US"/>
        </w:rPr>
        <w:t>dwellinghouse</w:t>
      </w:r>
      <w:proofErr w:type="spellEnd"/>
      <w:r w:rsidRPr="009D7AF8">
        <w:rPr>
          <w:rFonts w:cs="Arial"/>
          <w:sz w:val="20"/>
          <w:szCs w:val="20"/>
          <w:lang w:val="en" w:eastAsia="en-US"/>
        </w:rPr>
        <w:t xml:space="preserve"> occupied by a single household in use class C3, to a property used as a ‘small’ HMO that is shared by between three and six unrelated people in use class C4, could have been done without the need for planning permission under permitted development rights.</w:t>
      </w:r>
    </w:p>
    <w:p w:rsidR="009D7AF8" w:rsidRPr="009D7AF8" w:rsidRDefault="009D7AF8" w:rsidP="009D7AF8">
      <w:pPr>
        <w:rPr>
          <w:rFonts w:cs="Arial"/>
          <w:sz w:val="20"/>
          <w:szCs w:val="20"/>
          <w:lang w:val="en" w:eastAsia="en-US"/>
        </w:rPr>
      </w:pPr>
    </w:p>
    <w:p w:rsidR="009D7AF8" w:rsidRPr="009D7AF8" w:rsidRDefault="009D7AF8" w:rsidP="009D7AF8">
      <w:pPr>
        <w:rPr>
          <w:rFonts w:cs="Arial"/>
          <w:sz w:val="20"/>
          <w:szCs w:val="20"/>
          <w:lang w:val="en" w:eastAsia="en-US"/>
        </w:rPr>
      </w:pPr>
      <w:r w:rsidRPr="009D7AF8">
        <w:rPr>
          <w:rFonts w:cs="Arial"/>
          <w:sz w:val="20"/>
          <w:szCs w:val="20"/>
          <w:lang w:val="en" w:eastAsia="en-US"/>
        </w:rPr>
        <w:t xml:space="preserve">On Tuesday 14 November 2017 the City Council decided that an application for planning permission would be required for the change of use of dwellinghouses to small HMOs. This would apply in all of the Central Salford wards (Broughton, Claremont, </w:t>
      </w:r>
      <w:r w:rsidRPr="009D7AF8">
        <w:rPr>
          <w:rFonts w:cs="Arial"/>
          <w:i/>
          <w:sz w:val="20"/>
          <w:szCs w:val="20"/>
          <w:lang w:val="en" w:eastAsia="en-US"/>
        </w:rPr>
        <w:t>Irwell Riverside</w:t>
      </w:r>
      <w:r w:rsidRPr="009D7AF8">
        <w:rPr>
          <w:rFonts w:cs="Arial"/>
          <w:sz w:val="20"/>
          <w:szCs w:val="20"/>
          <w:lang w:val="en" w:eastAsia="en-US"/>
        </w:rPr>
        <w:t xml:space="preserve">, </w:t>
      </w:r>
      <w:proofErr w:type="spellStart"/>
      <w:r w:rsidRPr="009D7AF8">
        <w:rPr>
          <w:rFonts w:cs="Arial"/>
          <w:sz w:val="20"/>
          <w:szCs w:val="20"/>
          <w:lang w:val="en" w:eastAsia="en-US"/>
        </w:rPr>
        <w:t>Kersal</w:t>
      </w:r>
      <w:proofErr w:type="spellEnd"/>
      <w:r w:rsidRPr="009D7AF8">
        <w:rPr>
          <w:rFonts w:cs="Arial"/>
          <w:sz w:val="20"/>
          <w:szCs w:val="20"/>
          <w:lang w:val="en" w:eastAsia="en-US"/>
        </w:rPr>
        <w:t xml:space="preserve">, </w:t>
      </w:r>
      <w:proofErr w:type="spellStart"/>
      <w:r w:rsidRPr="009D7AF8">
        <w:rPr>
          <w:rFonts w:cs="Arial"/>
          <w:sz w:val="20"/>
          <w:szCs w:val="20"/>
          <w:lang w:val="en" w:eastAsia="en-US"/>
        </w:rPr>
        <w:t>Ordsall</w:t>
      </w:r>
      <w:proofErr w:type="spellEnd"/>
      <w:r w:rsidRPr="009D7AF8">
        <w:rPr>
          <w:rFonts w:cs="Arial"/>
          <w:sz w:val="20"/>
          <w:szCs w:val="20"/>
          <w:lang w:val="en" w:eastAsia="en-US"/>
        </w:rPr>
        <w:t xml:space="preserve">, </w:t>
      </w:r>
      <w:proofErr w:type="spellStart"/>
      <w:r w:rsidRPr="009D7AF8">
        <w:rPr>
          <w:rFonts w:cs="Arial"/>
          <w:sz w:val="20"/>
          <w:szCs w:val="20"/>
          <w:lang w:val="en" w:eastAsia="en-US"/>
        </w:rPr>
        <w:t>Langworthy</w:t>
      </w:r>
      <w:proofErr w:type="spellEnd"/>
      <w:r w:rsidRPr="009D7AF8">
        <w:rPr>
          <w:rFonts w:cs="Arial"/>
          <w:sz w:val="20"/>
          <w:szCs w:val="20"/>
          <w:lang w:val="en" w:eastAsia="en-US"/>
        </w:rPr>
        <w:t xml:space="preserve">, </w:t>
      </w:r>
      <w:proofErr w:type="spellStart"/>
      <w:r w:rsidRPr="009D7AF8">
        <w:rPr>
          <w:rFonts w:cs="Arial"/>
          <w:sz w:val="20"/>
          <w:szCs w:val="20"/>
          <w:lang w:val="en" w:eastAsia="en-US"/>
        </w:rPr>
        <w:t>Weaste</w:t>
      </w:r>
      <w:proofErr w:type="spellEnd"/>
      <w:r w:rsidRPr="009D7AF8">
        <w:rPr>
          <w:rFonts w:cs="Arial"/>
          <w:sz w:val="20"/>
          <w:szCs w:val="20"/>
          <w:lang w:val="en" w:eastAsia="en-US"/>
        </w:rPr>
        <w:t xml:space="preserve"> and Seedley), and the wards of Barton and Eccles from </w:t>
      </w:r>
      <w:r w:rsidRPr="009D7AF8">
        <w:rPr>
          <w:rFonts w:cs="Arial"/>
          <w:bCs/>
          <w:sz w:val="20"/>
          <w:szCs w:val="20"/>
          <w:lang w:val="en" w:eastAsia="en-US"/>
        </w:rPr>
        <w:t>25 November 2018</w:t>
      </w:r>
      <w:r w:rsidRPr="009D7AF8">
        <w:rPr>
          <w:rFonts w:cs="Arial"/>
          <w:sz w:val="20"/>
          <w:szCs w:val="20"/>
          <w:lang w:val="en" w:eastAsia="en-US"/>
        </w:rPr>
        <w:t>, and would be secured by what is known as an article 4 direction.</w:t>
      </w:r>
    </w:p>
    <w:p w:rsidR="009D7AF8" w:rsidRPr="009D7AF8" w:rsidRDefault="009D7AF8" w:rsidP="009D7AF8">
      <w:pPr>
        <w:rPr>
          <w:rFonts w:cs="Arial"/>
          <w:b/>
          <w:sz w:val="20"/>
          <w:szCs w:val="20"/>
          <w:u w:val="single"/>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 xml:space="preserve">This application is a result of the implementation of that Article 4 direction. </w:t>
      </w:r>
    </w:p>
    <w:p w:rsidR="009D7AF8" w:rsidRPr="009D7AF8" w:rsidRDefault="009D7AF8" w:rsidP="009D7AF8">
      <w:pPr>
        <w:rPr>
          <w:rFonts w:cs="Arial"/>
          <w:b/>
          <w:sz w:val="20"/>
          <w:szCs w:val="20"/>
          <w:u w:val="single"/>
          <w:lang w:eastAsia="en-US"/>
        </w:rPr>
      </w:pPr>
    </w:p>
    <w:p w:rsidR="009D7AF8" w:rsidRPr="009D7AF8" w:rsidRDefault="009D7AF8" w:rsidP="009D7AF8">
      <w:pPr>
        <w:rPr>
          <w:rFonts w:cs="Arial"/>
          <w:bCs/>
          <w:sz w:val="20"/>
          <w:szCs w:val="20"/>
          <w:lang w:eastAsia="en-US"/>
        </w:rPr>
      </w:pPr>
      <w:r w:rsidRPr="009D7AF8">
        <w:rPr>
          <w:rFonts w:cs="Arial"/>
          <w:sz w:val="20"/>
          <w:szCs w:val="20"/>
          <w:lang w:eastAsia="en-US"/>
        </w:rPr>
        <w:t>Planning permission is sought for the proposed conversion of the dwelling (C3) to a</w:t>
      </w:r>
      <w:r w:rsidRPr="009D7AF8">
        <w:rPr>
          <w:rFonts w:cs="Arial"/>
          <w:b/>
          <w:bCs/>
          <w:sz w:val="20"/>
          <w:szCs w:val="20"/>
          <w:lang w:eastAsia="en-US"/>
        </w:rPr>
        <w:t xml:space="preserve"> </w:t>
      </w:r>
      <w:r w:rsidRPr="009D7AF8">
        <w:rPr>
          <w:rFonts w:cs="Arial"/>
          <w:bCs/>
          <w:sz w:val="20"/>
          <w:szCs w:val="20"/>
          <w:lang w:eastAsia="en-US"/>
        </w:rPr>
        <w:t>4 bedroom (4 person) HMO (C4).</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 xml:space="preserve">The accommodation would be split over two levels with one bedroom located on the ground floor and three bedrooms located </w:t>
      </w:r>
      <w:r w:rsidR="00F470B4">
        <w:rPr>
          <w:rFonts w:cs="Arial"/>
          <w:sz w:val="20"/>
          <w:szCs w:val="20"/>
          <w:lang w:eastAsia="en-US"/>
        </w:rPr>
        <w:t>on the first</w:t>
      </w:r>
      <w:r w:rsidRPr="009D7AF8">
        <w:rPr>
          <w:rFonts w:cs="Arial"/>
          <w:sz w:val="20"/>
          <w:szCs w:val="20"/>
          <w:lang w:eastAsia="en-US"/>
        </w:rPr>
        <w:t xml:space="preserve"> floor. Communal space is provided on the ground floor by way of a lounge. Amenity space for the occupiers of the property is available in the rear yard area.</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The schedule of accommodation is as follows (approx.):-</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val="en-US" w:eastAsia="en-US"/>
        </w:rPr>
      </w:pPr>
      <w:r w:rsidRPr="009D7AF8">
        <w:rPr>
          <w:rFonts w:cs="Arial"/>
          <w:sz w:val="20"/>
          <w:szCs w:val="20"/>
          <w:lang w:val="en-US" w:eastAsia="en-US"/>
        </w:rPr>
        <w:t>Ground Floor</w:t>
      </w:r>
    </w:p>
    <w:p w:rsidR="009D7AF8" w:rsidRPr="009D7AF8" w:rsidRDefault="009D7AF8" w:rsidP="009D7AF8">
      <w:pPr>
        <w:rPr>
          <w:rFonts w:cs="Arial"/>
          <w:sz w:val="20"/>
          <w:szCs w:val="20"/>
          <w:lang w:val="en-US" w:eastAsia="en-US"/>
        </w:rPr>
      </w:pPr>
      <w:r w:rsidRPr="009D7AF8">
        <w:rPr>
          <w:rFonts w:cs="Arial"/>
          <w:sz w:val="20"/>
          <w:szCs w:val="20"/>
          <w:lang w:val="en-US" w:eastAsia="en-US"/>
        </w:rPr>
        <w:t>Bedroom 1 = 11.6m2</w:t>
      </w:r>
    </w:p>
    <w:p w:rsidR="009D7AF8" w:rsidRPr="009D7AF8" w:rsidRDefault="009D7AF8" w:rsidP="009D7AF8">
      <w:pPr>
        <w:rPr>
          <w:rFonts w:cs="Arial"/>
          <w:sz w:val="20"/>
          <w:szCs w:val="20"/>
          <w:lang w:val="en-US" w:eastAsia="en-US"/>
        </w:rPr>
      </w:pPr>
      <w:r w:rsidRPr="009D7AF8">
        <w:rPr>
          <w:rFonts w:cs="Arial"/>
          <w:sz w:val="20"/>
          <w:szCs w:val="20"/>
          <w:lang w:val="en-US" w:eastAsia="en-US"/>
        </w:rPr>
        <w:t>Lounge = 9.8 m2</w:t>
      </w:r>
    </w:p>
    <w:p w:rsidR="009D7AF8" w:rsidRPr="009D7AF8" w:rsidRDefault="009D7AF8" w:rsidP="009D7AF8">
      <w:pPr>
        <w:rPr>
          <w:rFonts w:cs="Arial"/>
          <w:sz w:val="20"/>
          <w:szCs w:val="20"/>
          <w:lang w:val="en-US" w:eastAsia="en-US"/>
        </w:rPr>
      </w:pPr>
      <w:r w:rsidRPr="009D7AF8">
        <w:rPr>
          <w:rFonts w:cs="Arial"/>
          <w:sz w:val="20"/>
          <w:szCs w:val="20"/>
          <w:lang w:val="en-US" w:eastAsia="en-US"/>
        </w:rPr>
        <w:t>Kitchen = 6.8m2</w:t>
      </w:r>
    </w:p>
    <w:p w:rsidR="009D7AF8" w:rsidRPr="009D7AF8" w:rsidRDefault="009D7AF8" w:rsidP="009D7AF8">
      <w:pPr>
        <w:rPr>
          <w:rFonts w:cs="Arial"/>
          <w:sz w:val="20"/>
          <w:szCs w:val="20"/>
          <w:lang w:val="en-US" w:eastAsia="en-US"/>
        </w:rPr>
      </w:pPr>
    </w:p>
    <w:p w:rsidR="009D7AF8" w:rsidRPr="009D7AF8" w:rsidRDefault="009D7AF8" w:rsidP="009D7AF8">
      <w:pPr>
        <w:rPr>
          <w:rFonts w:cs="Arial"/>
          <w:sz w:val="20"/>
          <w:szCs w:val="20"/>
          <w:lang w:val="en-US" w:eastAsia="en-US"/>
        </w:rPr>
      </w:pPr>
      <w:r w:rsidRPr="009D7AF8">
        <w:rPr>
          <w:rFonts w:cs="Arial"/>
          <w:sz w:val="20"/>
          <w:szCs w:val="20"/>
          <w:lang w:val="en-US" w:eastAsia="en-US"/>
        </w:rPr>
        <w:t>First Floor</w:t>
      </w:r>
    </w:p>
    <w:p w:rsidR="009D7AF8" w:rsidRPr="009D7AF8" w:rsidRDefault="009D7AF8" w:rsidP="009D7AF8">
      <w:pPr>
        <w:rPr>
          <w:rFonts w:cs="Arial"/>
          <w:sz w:val="20"/>
          <w:szCs w:val="20"/>
          <w:lang w:val="en-US" w:eastAsia="en-US"/>
        </w:rPr>
      </w:pPr>
      <w:r w:rsidRPr="009D7AF8">
        <w:rPr>
          <w:rFonts w:cs="Arial"/>
          <w:sz w:val="20"/>
          <w:szCs w:val="20"/>
          <w:lang w:val="en-US" w:eastAsia="en-US"/>
        </w:rPr>
        <w:t>Bedroom 2 = 8.8m2</w:t>
      </w:r>
    </w:p>
    <w:p w:rsidR="009D7AF8" w:rsidRPr="009D7AF8" w:rsidRDefault="009D7AF8" w:rsidP="009D7AF8">
      <w:pPr>
        <w:rPr>
          <w:rFonts w:cs="Arial"/>
          <w:sz w:val="20"/>
          <w:szCs w:val="20"/>
          <w:lang w:val="en-US" w:eastAsia="en-US"/>
        </w:rPr>
      </w:pPr>
      <w:r w:rsidRPr="009D7AF8">
        <w:rPr>
          <w:rFonts w:cs="Arial"/>
          <w:sz w:val="20"/>
          <w:szCs w:val="20"/>
          <w:lang w:val="en-US" w:eastAsia="en-US"/>
        </w:rPr>
        <w:t>Bedroom 3 = 9.8m2</w:t>
      </w:r>
    </w:p>
    <w:p w:rsidR="009D7AF8" w:rsidRPr="009D7AF8" w:rsidRDefault="009D7AF8" w:rsidP="009D7AF8">
      <w:pPr>
        <w:rPr>
          <w:rFonts w:cs="Arial"/>
          <w:sz w:val="20"/>
          <w:szCs w:val="20"/>
          <w:lang w:val="en-US" w:eastAsia="en-US"/>
        </w:rPr>
      </w:pPr>
      <w:r w:rsidRPr="009D7AF8">
        <w:rPr>
          <w:rFonts w:cs="Arial"/>
          <w:sz w:val="20"/>
          <w:szCs w:val="20"/>
          <w:lang w:val="en-US" w:eastAsia="en-US"/>
        </w:rPr>
        <w:t>Bedroom 4 = 6.8m2</w:t>
      </w:r>
    </w:p>
    <w:p w:rsidR="009D7AF8" w:rsidRPr="009D7AF8" w:rsidRDefault="009D7AF8" w:rsidP="009D7AF8">
      <w:pPr>
        <w:rPr>
          <w:rFonts w:cs="Arial"/>
          <w:sz w:val="20"/>
          <w:szCs w:val="20"/>
          <w:lang w:val="en-US" w:eastAsia="en-US"/>
        </w:rPr>
      </w:pPr>
    </w:p>
    <w:p w:rsidR="009D7AF8" w:rsidRPr="009D7AF8" w:rsidRDefault="009D7AF8" w:rsidP="009D7AF8">
      <w:pPr>
        <w:rPr>
          <w:rFonts w:cs="Arial"/>
          <w:sz w:val="20"/>
          <w:szCs w:val="20"/>
          <w:lang w:eastAsia="en-US"/>
        </w:rPr>
      </w:pPr>
      <w:r w:rsidRPr="009D7AF8">
        <w:rPr>
          <w:rFonts w:cs="Arial"/>
          <w:sz w:val="20"/>
          <w:szCs w:val="20"/>
          <w:lang w:eastAsia="en-US"/>
        </w:rPr>
        <w:t>There would be no external alterations in order to accommodate the development.</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There is no on-site parking provision within the curtilage of the dwelling. Bins would be stored in the rear yard area.</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p>
    <w:p w:rsidR="009D7AF8" w:rsidRPr="009D7AF8" w:rsidRDefault="009D7AF8" w:rsidP="009D7AF8">
      <w:pPr>
        <w:keepNext/>
        <w:outlineLvl w:val="1"/>
        <w:rPr>
          <w:rFonts w:cs="Arial"/>
          <w:b/>
          <w:bCs/>
          <w:sz w:val="20"/>
          <w:szCs w:val="20"/>
          <w:u w:val="single"/>
          <w:lang w:eastAsia="en-US"/>
        </w:rPr>
      </w:pPr>
      <w:r w:rsidRPr="009D7AF8">
        <w:rPr>
          <w:rFonts w:cs="Arial"/>
          <w:b/>
          <w:bCs/>
          <w:sz w:val="20"/>
          <w:szCs w:val="20"/>
          <w:u w:val="single"/>
          <w:lang w:eastAsia="en-US"/>
        </w:rPr>
        <w:t>Publicity</w:t>
      </w:r>
    </w:p>
    <w:p w:rsidR="009D7AF8" w:rsidRPr="009D7AF8" w:rsidRDefault="009D7AF8" w:rsidP="009D7AF8">
      <w:pPr>
        <w:rPr>
          <w:rFonts w:cs="Arial"/>
          <w:sz w:val="20"/>
          <w:szCs w:val="20"/>
          <w:lang w:eastAsia="en-US"/>
        </w:rPr>
      </w:pPr>
      <w:r w:rsidRPr="009D7AF8">
        <w:rPr>
          <w:rFonts w:cs="Arial"/>
          <w:sz w:val="20"/>
          <w:szCs w:val="20"/>
          <w:lang w:eastAsia="en-US"/>
        </w:rPr>
        <w:t>Earliest Decision Date: 4 November 2021</w:t>
      </w:r>
    </w:p>
    <w:p w:rsidR="009D7AF8" w:rsidRPr="009D7AF8" w:rsidRDefault="009D7AF8" w:rsidP="009D7AF8">
      <w:pPr>
        <w:rPr>
          <w:rFonts w:cs="Arial"/>
          <w:sz w:val="20"/>
          <w:szCs w:val="20"/>
          <w:lang w:val="en-US" w:eastAsia="en-US"/>
        </w:rPr>
      </w:pPr>
      <w:r w:rsidRPr="009D7AF8">
        <w:rPr>
          <w:rFonts w:cs="Arial"/>
          <w:sz w:val="20"/>
          <w:szCs w:val="20"/>
          <w:lang w:val="en-US" w:eastAsia="en-US"/>
        </w:rPr>
        <w:t xml:space="preserve">Revised Expiry Date:  No extension agreed  </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b/>
          <w:bCs/>
          <w:sz w:val="20"/>
          <w:szCs w:val="20"/>
          <w:lang w:eastAsia="en-US"/>
        </w:rPr>
        <w:t>Site Notice:</w:t>
      </w:r>
      <w:r w:rsidRPr="009D7AF8">
        <w:rPr>
          <w:rFonts w:cs="Arial"/>
          <w:sz w:val="20"/>
          <w:szCs w:val="20"/>
          <w:lang w:eastAsia="en-US"/>
        </w:rPr>
        <w:t xml:space="preserve"> Not Applicable</w:t>
      </w:r>
      <w:r w:rsidRPr="009D7AF8">
        <w:rPr>
          <w:rFonts w:cs="Arial"/>
          <w:sz w:val="20"/>
          <w:szCs w:val="20"/>
          <w:lang w:eastAsia="en-US"/>
        </w:rPr>
        <w:tab/>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b/>
          <w:bCs/>
          <w:sz w:val="20"/>
          <w:szCs w:val="20"/>
          <w:lang w:eastAsia="en-US"/>
        </w:rPr>
        <w:t>Press Advert:</w:t>
      </w:r>
      <w:r w:rsidRPr="009D7AF8">
        <w:rPr>
          <w:rFonts w:cs="Arial"/>
          <w:sz w:val="20"/>
          <w:szCs w:val="20"/>
          <w:lang w:eastAsia="en-US"/>
        </w:rPr>
        <w:t xml:space="preserve"> Not Applicable</w:t>
      </w:r>
      <w:r w:rsidRPr="009D7AF8">
        <w:rPr>
          <w:rFonts w:cs="Arial"/>
          <w:sz w:val="20"/>
          <w:szCs w:val="20"/>
          <w:lang w:eastAsia="en-US"/>
        </w:rPr>
        <w:tab/>
      </w:r>
    </w:p>
    <w:p w:rsidR="009D7AF8" w:rsidRPr="009D7AF8" w:rsidRDefault="009D7AF8" w:rsidP="009D7AF8">
      <w:pPr>
        <w:rPr>
          <w:rFonts w:cs="Arial"/>
          <w:sz w:val="20"/>
          <w:szCs w:val="20"/>
          <w:lang w:eastAsia="en-US"/>
        </w:rPr>
      </w:pPr>
    </w:p>
    <w:p w:rsidR="009D7AF8" w:rsidRPr="009D7AF8" w:rsidRDefault="009D7AF8" w:rsidP="009D7AF8">
      <w:pPr>
        <w:rPr>
          <w:rFonts w:cs="Arial"/>
          <w:b/>
          <w:sz w:val="20"/>
          <w:szCs w:val="20"/>
          <w:u w:val="single"/>
          <w:lang w:val="en-US" w:eastAsia="en-US"/>
        </w:rPr>
      </w:pPr>
      <w:r w:rsidRPr="009D7AF8">
        <w:rPr>
          <w:rFonts w:cs="Arial"/>
          <w:b/>
          <w:sz w:val="20"/>
          <w:szCs w:val="20"/>
          <w:u w:val="single"/>
          <w:lang w:val="en-US" w:eastAsia="en-US"/>
        </w:rPr>
        <w:t>Relevant Site History</w:t>
      </w:r>
    </w:p>
    <w:p w:rsidR="009D7AF8" w:rsidRPr="009D7AF8" w:rsidRDefault="009D7AF8" w:rsidP="009D7AF8">
      <w:pPr>
        <w:rPr>
          <w:rFonts w:cs="Arial"/>
          <w:b/>
          <w:sz w:val="20"/>
          <w:szCs w:val="20"/>
          <w:u w:val="single"/>
          <w:lang w:val="en-US" w:eastAsia="en-US"/>
        </w:rPr>
      </w:pPr>
    </w:p>
    <w:p w:rsidR="009D7AF8" w:rsidRPr="009D7AF8" w:rsidRDefault="009D7AF8" w:rsidP="009D7AF8">
      <w:pPr>
        <w:rPr>
          <w:rFonts w:cs="Arial"/>
          <w:sz w:val="20"/>
          <w:szCs w:val="20"/>
          <w:lang w:val="en-US" w:eastAsia="en-US"/>
        </w:rPr>
      </w:pPr>
      <w:r w:rsidRPr="009D7AF8">
        <w:rPr>
          <w:rFonts w:cs="Arial"/>
          <w:b/>
          <w:sz w:val="20"/>
          <w:szCs w:val="20"/>
          <w:lang w:val="en-US" w:eastAsia="en-US"/>
        </w:rPr>
        <w:t>21/77433/COU</w:t>
      </w:r>
      <w:r w:rsidRPr="009D7AF8">
        <w:rPr>
          <w:rFonts w:cs="Arial"/>
          <w:sz w:val="20"/>
          <w:szCs w:val="20"/>
          <w:lang w:val="en-US" w:eastAsia="en-US"/>
        </w:rPr>
        <w:t xml:space="preserve"> - Change of use from C3 (dwelling) to a C4 HMO  (4 residents) - Refuse - 18 August 2021</w:t>
      </w:r>
    </w:p>
    <w:p w:rsidR="009D7AF8" w:rsidRPr="009D7AF8" w:rsidRDefault="009D7AF8" w:rsidP="009D7AF8">
      <w:pPr>
        <w:rPr>
          <w:rFonts w:cs="Arial"/>
          <w:sz w:val="20"/>
          <w:szCs w:val="20"/>
          <w:lang w:val="en-US" w:eastAsia="en-US"/>
        </w:rPr>
      </w:pPr>
      <w:r w:rsidRPr="009D7AF8">
        <w:rPr>
          <w:rFonts w:cs="Arial"/>
          <w:sz w:val="20"/>
          <w:szCs w:val="20"/>
          <w:lang w:val="en-US" w:eastAsia="en-US"/>
        </w:rPr>
        <w:t xml:space="preserve">     </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b/>
          <w:sz w:val="20"/>
          <w:szCs w:val="20"/>
          <w:u w:val="single"/>
          <w:lang w:eastAsia="en-US"/>
        </w:rPr>
        <w:t xml:space="preserve">Neighbour Notification </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Three neighbouring occupiers have been notified of the application.</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b/>
          <w:sz w:val="20"/>
          <w:szCs w:val="20"/>
          <w:u w:val="single"/>
          <w:lang w:eastAsia="en-US"/>
        </w:rPr>
        <w:t xml:space="preserve">Representations </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Two letters of representation have been received in response to the application publicity from the same author. The letters make the following points:</w:t>
      </w:r>
    </w:p>
    <w:p w:rsidR="009D7AF8" w:rsidRPr="009D7AF8" w:rsidRDefault="009D7AF8" w:rsidP="009D7AF8">
      <w:pPr>
        <w:rPr>
          <w:rFonts w:cs="Arial"/>
          <w:sz w:val="20"/>
          <w:szCs w:val="20"/>
          <w:lang w:eastAsia="en-US"/>
        </w:rPr>
      </w:pPr>
    </w:p>
    <w:p w:rsidR="009D7AF8" w:rsidRPr="009D7AF8" w:rsidRDefault="009D7AF8" w:rsidP="009D7AF8">
      <w:pPr>
        <w:rPr>
          <w:rFonts w:cs="Arial"/>
          <w:i/>
          <w:sz w:val="20"/>
          <w:szCs w:val="20"/>
          <w:lang w:eastAsia="en-US"/>
        </w:rPr>
      </w:pPr>
      <w:r w:rsidRPr="009D7AF8">
        <w:rPr>
          <w:rFonts w:cs="Arial"/>
          <w:sz w:val="20"/>
          <w:szCs w:val="20"/>
          <w:lang w:eastAsia="en-US"/>
        </w:rPr>
        <w:t xml:space="preserve">Damage has been caused to the neighbouring property by the buildings and has not been fixed. </w:t>
      </w:r>
      <w:r w:rsidRPr="009D7AF8">
        <w:rPr>
          <w:rFonts w:cs="Arial"/>
          <w:i/>
          <w:sz w:val="20"/>
          <w:szCs w:val="20"/>
          <w:lang w:eastAsia="en-US"/>
        </w:rPr>
        <w:t>Case Officer Response – Any damage caused by building work is a civil matter and does not fall with the jurisdiction of the Local Planning Authority.</w:t>
      </w:r>
    </w:p>
    <w:p w:rsidR="009D7AF8" w:rsidRPr="009D7AF8" w:rsidRDefault="009D7AF8" w:rsidP="009D7AF8">
      <w:pPr>
        <w:rPr>
          <w:rFonts w:cs="Arial"/>
          <w:i/>
          <w:sz w:val="20"/>
          <w:szCs w:val="20"/>
          <w:lang w:eastAsia="en-US"/>
        </w:rPr>
      </w:pPr>
    </w:p>
    <w:p w:rsidR="009D7AF8" w:rsidRPr="009D7AF8" w:rsidRDefault="009D7AF8" w:rsidP="009D7AF8">
      <w:pPr>
        <w:rPr>
          <w:rFonts w:cs="Arial"/>
          <w:i/>
          <w:sz w:val="20"/>
          <w:szCs w:val="20"/>
          <w:lang w:eastAsia="en-US"/>
        </w:rPr>
      </w:pPr>
      <w:r w:rsidRPr="009D7AF8">
        <w:rPr>
          <w:rFonts w:cs="Arial"/>
          <w:sz w:val="20"/>
          <w:szCs w:val="20"/>
          <w:lang w:eastAsia="en-US"/>
        </w:rPr>
        <w:t>Noise from internal construction work</w:t>
      </w:r>
      <w:r w:rsidRPr="009D7AF8">
        <w:rPr>
          <w:rFonts w:cs="Arial"/>
          <w:i/>
          <w:sz w:val="20"/>
          <w:szCs w:val="20"/>
          <w:lang w:eastAsia="en-US"/>
        </w:rPr>
        <w:t>. Case Officer Response – Internal works in this particular case do not require planning permission and therefore would not fall with the jurisdiction of the Local Planning Authority. The</w:t>
      </w:r>
      <w:r w:rsidR="00F470B4">
        <w:rPr>
          <w:rFonts w:cs="Arial"/>
          <w:i/>
          <w:sz w:val="20"/>
          <w:szCs w:val="20"/>
          <w:lang w:eastAsia="en-US"/>
        </w:rPr>
        <w:t>re</w:t>
      </w:r>
      <w:r w:rsidRPr="009D7AF8">
        <w:rPr>
          <w:rFonts w:cs="Arial"/>
          <w:i/>
          <w:sz w:val="20"/>
          <w:szCs w:val="20"/>
          <w:lang w:eastAsia="en-US"/>
        </w:rPr>
        <w:t xml:space="preserve"> is a separate stat</w:t>
      </w:r>
      <w:r w:rsidR="00F470B4">
        <w:rPr>
          <w:rFonts w:cs="Arial"/>
          <w:i/>
          <w:sz w:val="20"/>
          <w:szCs w:val="20"/>
          <w:lang w:eastAsia="en-US"/>
        </w:rPr>
        <w:t>utory</w:t>
      </w:r>
      <w:r w:rsidRPr="009D7AF8">
        <w:rPr>
          <w:rFonts w:cs="Arial"/>
          <w:i/>
          <w:sz w:val="20"/>
          <w:szCs w:val="20"/>
          <w:lang w:eastAsia="en-US"/>
        </w:rPr>
        <w:t xml:space="preserve"> regime (Environmental Protection) which would investigate complaints of alleged noise nuisance. </w:t>
      </w:r>
    </w:p>
    <w:p w:rsidR="009D7AF8" w:rsidRPr="009D7AF8" w:rsidRDefault="009D7AF8" w:rsidP="009D7AF8">
      <w:pPr>
        <w:rPr>
          <w:rFonts w:cs="Arial"/>
          <w:i/>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 xml:space="preserve">Impact of the works on health of the neighbour and pet.  </w:t>
      </w:r>
      <w:r w:rsidRPr="009D7AF8">
        <w:rPr>
          <w:rFonts w:cs="Arial"/>
          <w:i/>
          <w:sz w:val="20"/>
          <w:szCs w:val="20"/>
          <w:lang w:eastAsia="en-US"/>
        </w:rPr>
        <w:t>Case Officer Response – In determining this application regard has been given to the health implications; however there is no evidence to suggest that the change of use to a HMO is likely to have significant adverse impact on the neighbours health and wellbeing.</w:t>
      </w:r>
    </w:p>
    <w:p w:rsidR="009D7AF8" w:rsidRPr="009D7AF8" w:rsidRDefault="009D7AF8" w:rsidP="009D7AF8">
      <w:pPr>
        <w:rPr>
          <w:rFonts w:cs="Arial"/>
          <w:i/>
          <w:sz w:val="20"/>
          <w:szCs w:val="20"/>
          <w:lang w:eastAsia="en-US"/>
        </w:rPr>
      </w:pPr>
    </w:p>
    <w:p w:rsidR="009D7AF8" w:rsidRPr="009D7AF8" w:rsidRDefault="009D7AF8" w:rsidP="009D7AF8">
      <w:pPr>
        <w:keepNext/>
        <w:outlineLvl w:val="0"/>
        <w:rPr>
          <w:rFonts w:cs="Arial"/>
          <w:b/>
          <w:bCs/>
          <w:sz w:val="20"/>
          <w:szCs w:val="20"/>
          <w:u w:val="single"/>
          <w:lang w:eastAsia="en-US"/>
        </w:rPr>
      </w:pPr>
    </w:p>
    <w:p w:rsidR="009D7AF8" w:rsidRPr="009D7AF8" w:rsidRDefault="009D7AF8" w:rsidP="009D7AF8">
      <w:pPr>
        <w:keepNext/>
        <w:outlineLvl w:val="0"/>
        <w:rPr>
          <w:rFonts w:cs="Arial"/>
          <w:b/>
          <w:bCs/>
          <w:sz w:val="20"/>
          <w:szCs w:val="20"/>
          <w:u w:val="single"/>
          <w:lang w:eastAsia="en-US"/>
        </w:rPr>
      </w:pPr>
      <w:r w:rsidRPr="009D7AF8">
        <w:rPr>
          <w:rFonts w:cs="Arial"/>
          <w:b/>
          <w:bCs/>
          <w:sz w:val="20"/>
          <w:szCs w:val="20"/>
          <w:u w:val="single"/>
          <w:lang w:eastAsia="en-US"/>
        </w:rPr>
        <w:t>Consultations</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u w:val="single"/>
          <w:lang w:eastAsia="en-US"/>
        </w:rPr>
        <w:t xml:space="preserve">Highways </w:t>
      </w:r>
      <w:r w:rsidRPr="009D7AF8">
        <w:rPr>
          <w:rFonts w:cs="Arial"/>
          <w:sz w:val="20"/>
          <w:szCs w:val="20"/>
          <w:lang w:eastAsia="en-US"/>
        </w:rPr>
        <w:t>-  No objections.</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u w:val="single"/>
          <w:lang w:eastAsia="en-US"/>
        </w:rPr>
        <w:t xml:space="preserve">HMO </w:t>
      </w:r>
      <w:r w:rsidRPr="009D7AF8">
        <w:rPr>
          <w:rFonts w:cs="Arial"/>
          <w:sz w:val="20"/>
          <w:szCs w:val="20"/>
          <w:lang w:eastAsia="en-US"/>
        </w:rPr>
        <w:t>-  The rooms do not meet the required standards for a four bedroom HMO.</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u w:val="single"/>
          <w:lang w:eastAsia="en-US"/>
        </w:rPr>
        <w:t xml:space="preserve">Air Quality, Noise, Contaminated Land </w:t>
      </w:r>
      <w:r w:rsidRPr="009D7AF8">
        <w:rPr>
          <w:rFonts w:cs="Arial"/>
          <w:sz w:val="20"/>
          <w:szCs w:val="20"/>
          <w:lang w:eastAsia="en-US"/>
        </w:rPr>
        <w:t>– No objections.</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 xml:space="preserve"> </w:t>
      </w:r>
    </w:p>
    <w:p w:rsidR="009D7AF8" w:rsidRPr="009D7AF8" w:rsidRDefault="009D7AF8" w:rsidP="009D7AF8">
      <w:pPr>
        <w:rPr>
          <w:rFonts w:cs="Arial"/>
          <w:sz w:val="20"/>
          <w:szCs w:val="20"/>
          <w:lang w:eastAsia="en-US"/>
        </w:rPr>
      </w:pPr>
      <w:r w:rsidRPr="009D7AF8">
        <w:rPr>
          <w:rFonts w:cs="Arial"/>
          <w:sz w:val="20"/>
          <w:szCs w:val="20"/>
          <w:lang w:eastAsia="en-US"/>
        </w:rPr>
        <w:t xml:space="preserve"> </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p>
    <w:p w:rsidR="009D7AF8" w:rsidRPr="009D7AF8" w:rsidRDefault="009D7AF8" w:rsidP="009D7AF8">
      <w:pPr>
        <w:keepNext/>
        <w:outlineLvl w:val="1"/>
        <w:rPr>
          <w:rFonts w:cs="Arial"/>
          <w:b/>
          <w:bCs/>
          <w:sz w:val="20"/>
          <w:szCs w:val="20"/>
          <w:u w:val="single"/>
          <w:lang w:val="en-US" w:eastAsia="en-US"/>
        </w:rPr>
      </w:pPr>
      <w:r w:rsidRPr="009D7AF8">
        <w:rPr>
          <w:rFonts w:cs="Arial"/>
          <w:b/>
          <w:bCs/>
          <w:sz w:val="20"/>
          <w:szCs w:val="20"/>
          <w:u w:val="single"/>
          <w:lang w:val="en-US" w:eastAsia="en-US"/>
        </w:rPr>
        <w:t>Planning Policy</w:t>
      </w:r>
    </w:p>
    <w:p w:rsidR="009D7AF8" w:rsidRPr="009D7AF8" w:rsidRDefault="009D7AF8" w:rsidP="009D7AF8">
      <w:pPr>
        <w:rPr>
          <w:rFonts w:cs="Arial"/>
          <w:sz w:val="20"/>
          <w:szCs w:val="20"/>
          <w:lang w:val="en-US" w:eastAsia="en-US"/>
        </w:rPr>
      </w:pPr>
    </w:p>
    <w:p w:rsidR="009D7AF8" w:rsidRPr="009D7AF8" w:rsidRDefault="009D7AF8" w:rsidP="009D7AF8">
      <w:pPr>
        <w:keepNext/>
        <w:outlineLvl w:val="1"/>
        <w:rPr>
          <w:rFonts w:cs="Arial"/>
          <w:bCs/>
          <w:sz w:val="20"/>
          <w:szCs w:val="20"/>
          <w:lang w:val="en-US" w:eastAsia="en-US"/>
        </w:rPr>
      </w:pPr>
      <w:r w:rsidRPr="009D7AF8">
        <w:rPr>
          <w:rFonts w:cs="Arial"/>
          <w:b/>
          <w:bCs/>
          <w:sz w:val="20"/>
          <w:szCs w:val="20"/>
          <w:u w:val="single"/>
          <w:lang w:val="en-US" w:eastAsia="en-US"/>
        </w:rPr>
        <w:t>Development Plan Policy</w:t>
      </w:r>
    </w:p>
    <w:p w:rsidR="009D7AF8" w:rsidRPr="009D7AF8" w:rsidRDefault="009D7AF8" w:rsidP="009D7AF8">
      <w:pPr>
        <w:rPr>
          <w:rFonts w:cs="Arial"/>
          <w:sz w:val="20"/>
          <w:szCs w:val="20"/>
          <w:lang w:val="en-US" w:eastAsia="en-US"/>
        </w:rPr>
      </w:pPr>
    </w:p>
    <w:p w:rsidR="009D7AF8" w:rsidRPr="009D7AF8" w:rsidRDefault="009D7AF8" w:rsidP="009D7AF8">
      <w:pPr>
        <w:rPr>
          <w:rFonts w:cs="Arial"/>
          <w:sz w:val="20"/>
          <w:szCs w:val="20"/>
          <w:lang w:val="en-US" w:eastAsia="en-US"/>
        </w:rPr>
      </w:pPr>
    </w:p>
    <w:p w:rsidR="009D7AF8" w:rsidRPr="009D7AF8" w:rsidRDefault="009D7AF8" w:rsidP="009D7AF8">
      <w:pPr>
        <w:rPr>
          <w:rFonts w:cs="Arial"/>
          <w:sz w:val="20"/>
          <w:szCs w:val="20"/>
          <w:lang w:val="en-US" w:eastAsia="en-US"/>
        </w:rPr>
      </w:pPr>
      <w:r w:rsidRPr="009D7AF8">
        <w:rPr>
          <w:rFonts w:cs="Arial"/>
          <w:sz w:val="20"/>
          <w:szCs w:val="20"/>
          <w:lang w:val="en-US" w:eastAsia="en-US"/>
        </w:rPr>
        <w:t>Unitary Development Plan - Policy DES1 Respecting Context</w:t>
      </w:r>
    </w:p>
    <w:p w:rsidR="009D7AF8" w:rsidRPr="009D7AF8" w:rsidRDefault="009D7AF8" w:rsidP="009D7AF8">
      <w:pPr>
        <w:rPr>
          <w:rFonts w:cs="Arial"/>
          <w:sz w:val="20"/>
          <w:szCs w:val="20"/>
          <w:lang w:val="en-US" w:eastAsia="en-US"/>
        </w:rPr>
      </w:pPr>
      <w:r w:rsidRPr="009D7AF8">
        <w:rPr>
          <w:rFonts w:cs="Arial"/>
          <w:sz w:val="20"/>
          <w:szCs w:val="20"/>
          <w:lang w:val="en-US" w:eastAsia="en-US"/>
        </w:rPr>
        <w:t>Unitary Development Plan - Policy DES7 Amenity of Users and Neighbours</w:t>
      </w:r>
    </w:p>
    <w:p w:rsidR="009D7AF8" w:rsidRPr="009D7AF8" w:rsidRDefault="009D7AF8" w:rsidP="009D7AF8">
      <w:pPr>
        <w:rPr>
          <w:rFonts w:cs="Arial"/>
          <w:sz w:val="20"/>
          <w:szCs w:val="20"/>
          <w:lang w:val="en-US" w:eastAsia="en-US"/>
        </w:rPr>
      </w:pPr>
      <w:r w:rsidRPr="009D7AF8">
        <w:rPr>
          <w:rFonts w:cs="Arial"/>
          <w:sz w:val="20"/>
          <w:szCs w:val="20"/>
          <w:lang w:val="en-US" w:eastAsia="en-US"/>
        </w:rPr>
        <w:t>Unitary Development Plan - Policy A2 Cyclists, Pedestrians and the Disabled</w:t>
      </w:r>
    </w:p>
    <w:p w:rsidR="009D7AF8" w:rsidRPr="009D7AF8" w:rsidRDefault="009D7AF8" w:rsidP="009D7AF8">
      <w:pPr>
        <w:rPr>
          <w:rFonts w:cs="Arial"/>
          <w:sz w:val="20"/>
          <w:szCs w:val="20"/>
          <w:lang w:val="en-US" w:eastAsia="en-US"/>
        </w:rPr>
      </w:pPr>
      <w:r w:rsidRPr="009D7AF8">
        <w:rPr>
          <w:rFonts w:cs="Arial"/>
          <w:sz w:val="20"/>
          <w:szCs w:val="20"/>
          <w:lang w:val="en-US" w:eastAsia="en-US"/>
        </w:rPr>
        <w:lastRenderedPageBreak/>
        <w:t>Unitary Development Plan - Policy A8 Impact of Development on Highway Network</w:t>
      </w:r>
    </w:p>
    <w:p w:rsidR="009D7AF8" w:rsidRPr="009D7AF8" w:rsidRDefault="009D7AF8" w:rsidP="009D7AF8">
      <w:pPr>
        <w:rPr>
          <w:rFonts w:cs="Arial"/>
          <w:sz w:val="20"/>
          <w:szCs w:val="20"/>
          <w:lang w:val="en-US" w:eastAsia="en-US"/>
        </w:rPr>
      </w:pPr>
      <w:r w:rsidRPr="009D7AF8">
        <w:rPr>
          <w:rFonts w:cs="Arial"/>
          <w:sz w:val="20"/>
          <w:szCs w:val="20"/>
          <w:lang w:val="en-US" w:eastAsia="en-US"/>
        </w:rPr>
        <w:t>Unitary Development Plan - Policy A10 Provision of Car, Cycle and Motorcycle Parking in New Developments</w:t>
      </w:r>
    </w:p>
    <w:p w:rsidR="009D7AF8" w:rsidRPr="009D7AF8" w:rsidRDefault="009D7AF8" w:rsidP="009D7AF8">
      <w:pPr>
        <w:rPr>
          <w:rFonts w:cs="Arial"/>
          <w:sz w:val="20"/>
          <w:szCs w:val="20"/>
          <w:lang w:val="en-US" w:eastAsia="en-US"/>
        </w:rPr>
      </w:pPr>
      <w:r w:rsidRPr="009D7AF8">
        <w:rPr>
          <w:rFonts w:cs="Arial"/>
          <w:sz w:val="20"/>
          <w:szCs w:val="20"/>
          <w:lang w:val="en-US" w:eastAsia="en-US"/>
        </w:rPr>
        <w:t>Unitary Development Plan - Policy H1 Provision of New Housing Development</w:t>
      </w:r>
    </w:p>
    <w:p w:rsidR="009D7AF8" w:rsidRPr="009D7AF8" w:rsidRDefault="009D7AF8" w:rsidP="009D7AF8">
      <w:pPr>
        <w:rPr>
          <w:rFonts w:cs="Arial"/>
          <w:sz w:val="20"/>
          <w:szCs w:val="20"/>
          <w:lang w:val="en-US" w:eastAsia="en-US"/>
        </w:rPr>
      </w:pPr>
      <w:r w:rsidRPr="009D7AF8">
        <w:rPr>
          <w:rFonts w:cs="Arial"/>
          <w:sz w:val="20"/>
          <w:szCs w:val="20"/>
          <w:lang w:val="en-US" w:eastAsia="en-US"/>
        </w:rPr>
        <w:t>Unitary Development Plan - Policy EN17 Pollution Control</w:t>
      </w:r>
    </w:p>
    <w:p w:rsidR="009D7AF8" w:rsidRPr="009D7AF8" w:rsidRDefault="009D7AF8" w:rsidP="009D7AF8">
      <w:pPr>
        <w:rPr>
          <w:rFonts w:cs="Arial"/>
          <w:sz w:val="20"/>
          <w:szCs w:val="20"/>
          <w:lang w:val="en-US" w:eastAsia="en-US"/>
        </w:rPr>
      </w:pPr>
    </w:p>
    <w:p w:rsidR="009D7AF8" w:rsidRPr="009D7AF8" w:rsidRDefault="009D7AF8" w:rsidP="009D7AF8">
      <w:pPr>
        <w:rPr>
          <w:rFonts w:cs="Arial"/>
          <w:b/>
          <w:sz w:val="20"/>
          <w:szCs w:val="20"/>
          <w:u w:val="single"/>
          <w:lang w:val="en-US" w:eastAsia="en-US"/>
        </w:rPr>
      </w:pPr>
      <w:r w:rsidRPr="009D7AF8">
        <w:rPr>
          <w:rFonts w:cs="Arial"/>
          <w:b/>
          <w:sz w:val="20"/>
          <w:szCs w:val="20"/>
          <w:u w:val="single"/>
          <w:lang w:val="en-US"/>
        </w:rPr>
        <w:t>Other Material Planning Considerations</w:t>
      </w:r>
    </w:p>
    <w:p w:rsidR="009D7AF8" w:rsidRPr="009D7AF8" w:rsidRDefault="009D7AF8" w:rsidP="009D7AF8">
      <w:pPr>
        <w:rPr>
          <w:rFonts w:cs="Arial"/>
          <w:sz w:val="20"/>
          <w:szCs w:val="20"/>
          <w:lang w:val="en-US" w:eastAsia="en-US"/>
        </w:rPr>
      </w:pPr>
    </w:p>
    <w:p w:rsidR="009D7AF8" w:rsidRPr="009D7AF8" w:rsidRDefault="009D7AF8" w:rsidP="009D7AF8">
      <w:pPr>
        <w:rPr>
          <w:rFonts w:cs="Arial"/>
          <w:b/>
          <w:sz w:val="20"/>
          <w:szCs w:val="20"/>
          <w:lang w:val="en-US" w:eastAsia="en-US"/>
        </w:rPr>
      </w:pPr>
      <w:r w:rsidRPr="009D7AF8">
        <w:rPr>
          <w:rFonts w:cs="Arial"/>
          <w:b/>
          <w:sz w:val="20"/>
          <w:szCs w:val="20"/>
          <w:lang w:val="en-US"/>
        </w:rPr>
        <w:t>National Planning Policy</w:t>
      </w:r>
    </w:p>
    <w:p w:rsidR="009D7AF8" w:rsidRPr="009D7AF8" w:rsidRDefault="009D7AF8" w:rsidP="009D7AF8">
      <w:pPr>
        <w:rPr>
          <w:rFonts w:cs="Arial"/>
          <w:sz w:val="20"/>
          <w:szCs w:val="20"/>
          <w:lang w:val="en-US" w:eastAsia="en-US"/>
        </w:rPr>
      </w:pPr>
      <w:r w:rsidRPr="009D7AF8">
        <w:rPr>
          <w:rFonts w:cs="Arial"/>
          <w:sz w:val="20"/>
          <w:szCs w:val="20"/>
          <w:u w:val="single"/>
          <w:lang w:val="en-US" w:eastAsia="en-US"/>
        </w:rPr>
        <w:t xml:space="preserve"> </w:t>
      </w:r>
    </w:p>
    <w:p w:rsidR="009D7AF8" w:rsidRPr="009D7AF8" w:rsidRDefault="009D7AF8" w:rsidP="009D7AF8">
      <w:pPr>
        <w:rPr>
          <w:rFonts w:cs="Arial"/>
          <w:sz w:val="20"/>
          <w:szCs w:val="20"/>
          <w:lang w:val="en-US" w:eastAsia="en-US"/>
        </w:rPr>
      </w:pPr>
      <w:r w:rsidRPr="009D7AF8">
        <w:rPr>
          <w:rFonts w:cs="Arial"/>
          <w:sz w:val="20"/>
          <w:szCs w:val="20"/>
          <w:lang w:val="en-US" w:eastAsia="en-US"/>
        </w:rPr>
        <w:t>National Planning Policy Framework</w:t>
      </w:r>
    </w:p>
    <w:p w:rsidR="009D7AF8" w:rsidRPr="009D7AF8" w:rsidRDefault="009D7AF8" w:rsidP="009D7AF8">
      <w:pPr>
        <w:rPr>
          <w:rFonts w:cs="Arial"/>
          <w:sz w:val="20"/>
          <w:szCs w:val="20"/>
          <w:lang w:val="en-US" w:eastAsia="en-US"/>
        </w:rPr>
      </w:pPr>
    </w:p>
    <w:p w:rsidR="009D7AF8" w:rsidRPr="009D7AF8" w:rsidRDefault="009D7AF8" w:rsidP="009D7AF8">
      <w:pPr>
        <w:rPr>
          <w:rFonts w:cs="Arial"/>
          <w:b/>
          <w:sz w:val="20"/>
          <w:szCs w:val="20"/>
          <w:lang w:val="en-US" w:eastAsia="en-US"/>
        </w:rPr>
      </w:pPr>
    </w:p>
    <w:p w:rsidR="009D7AF8" w:rsidRPr="009D7AF8" w:rsidRDefault="009D7AF8" w:rsidP="009D7AF8">
      <w:pPr>
        <w:rPr>
          <w:rFonts w:cs="Arial"/>
          <w:b/>
          <w:sz w:val="20"/>
          <w:szCs w:val="20"/>
          <w:lang w:val="en-US" w:eastAsia="en-US"/>
        </w:rPr>
      </w:pPr>
      <w:r w:rsidRPr="009D7AF8">
        <w:rPr>
          <w:rFonts w:cs="Arial"/>
          <w:b/>
          <w:sz w:val="20"/>
          <w:szCs w:val="20"/>
          <w:lang w:val="en-US" w:eastAsia="en-US"/>
        </w:rPr>
        <w:t>Local Planning Policy</w:t>
      </w:r>
    </w:p>
    <w:p w:rsidR="009D7AF8" w:rsidRPr="009D7AF8" w:rsidRDefault="009D7AF8" w:rsidP="009D7AF8">
      <w:pPr>
        <w:rPr>
          <w:rFonts w:cs="Arial"/>
          <w:sz w:val="20"/>
          <w:szCs w:val="20"/>
          <w:lang w:val="en-US" w:eastAsia="en-US"/>
        </w:rPr>
      </w:pPr>
    </w:p>
    <w:p w:rsidR="009D7AF8" w:rsidRPr="009D7AF8" w:rsidRDefault="009D7AF8" w:rsidP="009D7AF8">
      <w:pPr>
        <w:rPr>
          <w:rFonts w:cs="Arial"/>
          <w:sz w:val="20"/>
          <w:szCs w:val="20"/>
          <w:lang w:val="en-US" w:eastAsia="en-US"/>
        </w:rPr>
      </w:pPr>
      <w:r w:rsidRPr="009D7AF8">
        <w:rPr>
          <w:rFonts w:cs="Arial"/>
          <w:sz w:val="20"/>
          <w:szCs w:val="20"/>
          <w:lang w:val="en-US" w:eastAsia="en-US"/>
        </w:rPr>
        <w:t>Planning Guidance - Housing</w:t>
      </w:r>
    </w:p>
    <w:p w:rsidR="009D7AF8" w:rsidRPr="009D7AF8" w:rsidRDefault="009D7AF8" w:rsidP="009D7AF8">
      <w:pPr>
        <w:rPr>
          <w:rFonts w:cs="Arial"/>
          <w:sz w:val="20"/>
          <w:szCs w:val="20"/>
          <w:lang w:val="en-US" w:eastAsia="en-US"/>
        </w:rPr>
      </w:pPr>
      <w:r w:rsidRPr="009D7AF8">
        <w:rPr>
          <w:rFonts w:cs="Arial"/>
          <w:sz w:val="20"/>
          <w:szCs w:val="20"/>
          <w:lang w:val="en-US" w:eastAsia="en-US"/>
        </w:rPr>
        <w:t>Planning Guidance - Claremont and Weaste Neighbourhood Plan</w:t>
      </w:r>
    </w:p>
    <w:p w:rsidR="009D7AF8" w:rsidRPr="009D7AF8" w:rsidRDefault="009D7AF8" w:rsidP="009D7AF8">
      <w:pPr>
        <w:rPr>
          <w:rFonts w:cs="Arial"/>
          <w:sz w:val="20"/>
          <w:szCs w:val="20"/>
          <w:lang w:val="en-US"/>
        </w:rPr>
      </w:pPr>
    </w:p>
    <w:p w:rsidR="009D7AF8" w:rsidRPr="009D7AF8" w:rsidRDefault="009D7AF8" w:rsidP="009D7AF8">
      <w:pPr>
        <w:shd w:val="clear" w:color="auto" w:fill="FFFFFF"/>
        <w:spacing w:after="240"/>
        <w:rPr>
          <w:rFonts w:cs="Arial"/>
          <w:color w:val="000000"/>
          <w:sz w:val="20"/>
          <w:szCs w:val="20"/>
        </w:rPr>
      </w:pPr>
      <w:r w:rsidRPr="009D7AF8">
        <w:rPr>
          <w:rFonts w:cs="Arial"/>
          <w:color w:val="000000"/>
          <w:sz w:val="20"/>
          <w:szCs w:val="20"/>
        </w:rPr>
        <w:t>The National Planning Policy Framework (NPPF) paragraph 48 establishes that local planning authorities may give weight to relevant policies in emerging plans according to:</w:t>
      </w:r>
    </w:p>
    <w:p w:rsidR="009D7AF8" w:rsidRPr="009D7AF8" w:rsidRDefault="009D7AF8" w:rsidP="009D7AF8">
      <w:pPr>
        <w:numPr>
          <w:ilvl w:val="0"/>
          <w:numId w:val="8"/>
        </w:numPr>
        <w:shd w:val="clear" w:color="auto" w:fill="FFFFFF"/>
        <w:spacing w:after="240"/>
        <w:contextualSpacing/>
        <w:rPr>
          <w:rFonts w:cs="Arial"/>
          <w:color w:val="000000"/>
          <w:sz w:val="20"/>
          <w:szCs w:val="20"/>
        </w:rPr>
      </w:pPr>
      <w:r w:rsidRPr="009D7AF8">
        <w:rPr>
          <w:rFonts w:cs="Arial"/>
          <w:color w:val="000000"/>
          <w:sz w:val="20"/>
          <w:szCs w:val="20"/>
        </w:rPr>
        <w:t>The stage of preparation of the emerging plan (the more advanced its preparation, the greater the weight that may be given);</w:t>
      </w:r>
    </w:p>
    <w:p w:rsidR="009D7AF8" w:rsidRPr="009D7AF8" w:rsidRDefault="009D7AF8" w:rsidP="009D7AF8">
      <w:pPr>
        <w:numPr>
          <w:ilvl w:val="0"/>
          <w:numId w:val="8"/>
        </w:numPr>
        <w:shd w:val="clear" w:color="auto" w:fill="FFFFFF"/>
        <w:spacing w:after="240"/>
        <w:contextualSpacing/>
        <w:rPr>
          <w:rFonts w:cs="Arial"/>
          <w:color w:val="000000"/>
          <w:sz w:val="20"/>
          <w:szCs w:val="20"/>
        </w:rPr>
      </w:pPr>
      <w:r w:rsidRPr="009D7AF8">
        <w:rPr>
          <w:rFonts w:cs="Arial"/>
          <w:color w:val="000000"/>
          <w:sz w:val="20"/>
          <w:szCs w:val="20"/>
        </w:rPr>
        <w:t>The extent to which there are unresolved objections to relevant policies (the less significant the unresolved objections, the greater the weight that may be given); and</w:t>
      </w:r>
    </w:p>
    <w:p w:rsidR="009D7AF8" w:rsidRPr="009D7AF8" w:rsidRDefault="009D7AF8" w:rsidP="009D7AF8">
      <w:pPr>
        <w:numPr>
          <w:ilvl w:val="0"/>
          <w:numId w:val="8"/>
        </w:numPr>
        <w:shd w:val="clear" w:color="auto" w:fill="FFFFFF"/>
        <w:spacing w:after="240"/>
        <w:contextualSpacing/>
        <w:rPr>
          <w:rFonts w:cs="Arial"/>
          <w:color w:val="000000"/>
          <w:sz w:val="20"/>
          <w:szCs w:val="20"/>
        </w:rPr>
      </w:pPr>
      <w:r w:rsidRPr="009D7AF8">
        <w:rPr>
          <w:rFonts w:cs="Arial"/>
          <w:color w:val="000000"/>
          <w:sz w:val="20"/>
          <w:szCs w:val="20"/>
        </w:rPr>
        <w:t>The degree of consistency of the relevant policies in the emerging plan to the NPPF (the closer the policies in the emerging plan to the policies in the NPPF, the greater the weight that may be given).</w:t>
      </w:r>
    </w:p>
    <w:p w:rsidR="009D7AF8" w:rsidRPr="009D7AF8" w:rsidRDefault="009D7AF8" w:rsidP="009D7AF8">
      <w:pPr>
        <w:shd w:val="clear" w:color="auto" w:fill="FFFFFF"/>
        <w:spacing w:after="240"/>
        <w:rPr>
          <w:rFonts w:cs="Arial"/>
          <w:sz w:val="20"/>
          <w:szCs w:val="20"/>
        </w:rPr>
      </w:pPr>
      <w:r w:rsidRPr="009D7AF8">
        <w:rPr>
          <w:rFonts w:cs="Arial"/>
          <w:sz w:val="20"/>
          <w:szCs w:val="20"/>
        </w:rPr>
        <w:t>There are currently two emerging plans to consider.</w:t>
      </w:r>
    </w:p>
    <w:p w:rsidR="009D7AF8" w:rsidRPr="009D7AF8" w:rsidRDefault="009D7AF8" w:rsidP="009D7AF8">
      <w:pPr>
        <w:rPr>
          <w:rFonts w:cs="Arial"/>
          <w:sz w:val="20"/>
          <w:szCs w:val="20"/>
          <w:lang w:eastAsia="en-US"/>
        </w:rPr>
      </w:pPr>
      <w:r w:rsidRPr="009D7AF8">
        <w:rPr>
          <w:rFonts w:cs="Arial"/>
          <w:sz w:val="20"/>
          <w:szCs w:val="20"/>
          <w:lang w:eastAsia="en-US"/>
        </w:rPr>
        <w:t>First, Places for Everyone Publication Plan 2021, the joint Development Plan Document for nine districts in Greater Manchester, which was published for consultation under Regulation 19 of the Town and Country Planning (Local Planning) (England) Regulations 2012 on 9 August 2021. Representations were invited until 3 October 2021 and are currently being considered. The emerging policies which are relevant to this application are discussed where applicable in this report with appropriate weight being afforded in accordance with NPPF paragraph 48.</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Second, the Publication Salford Local Plan: Development Management Policies and Designations (SLP:DMP), which was published on 27 January 2020 and comments were invited until 20 March 2020. </w:t>
      </w:r>
      <w:r w:rsidRPr="009D7AF8">
        <w:rPr>
          <w:rFonts w:cs="Arial"/>
          <w:color w:val="000000"/>
          <w:sz w:val="20"/>
          <w:szCs w:val="20"/>
          <w:shd w:val="clear" w:color="auto" w:fill="FFFFFF"/>
          <w:lang w:eastAsia="en-US"/>
        </w:rPr>
        <w:t xml:space="preserve"> An Addendum was published on 5 February 2021 and comments were invited on this until 19 March 2021.</w:t>
      </w:r>
      <w:r w:rsidRPr="009D7AF8">
        <w:rPr>
          <w:rFonts w:cs="Arial"/>
          <w:sz w:val="20"/>
          <w:szCs w:val="20"/>
          <w:lang w:eastAsia="en-US"/>
        </w:rPr>
        <w:t xml:space="preserve"> </w:t>
      </w:r>
      <w:r w:rsidRPr="009D7AF8">
        <w:rPr>
          <w:rFonts w:cs="Arial"/>
          <w:color w:val="000000"/>
          <w:sz w:val="20"/>
          <w:szCs w:val="20"/>
          <w:shd w:val="clear" w:color="auto" w:fill="FFFFFF"/>
          <w:lang w:eastAsia="en-US"/>
        </w:rPr>
        <w:t xml:space="preserve">The Publication SMP:DMP and the Addendum were submitted to the Secretary of State for examination on 30 June 2021 and the examination hearings are expected to take place in November 2021. </w:t>
      </w:r>
      <w:r w:rsidRPr="009D7AF8">
        <w:rPr>
          <w:rFonts w:cs="Arial"/>
          <w:sz w:val="20"/>
          <w:szCs w:val="20"/>
          <w:lang w:eastAsia="en-US"/>
        </w:rPr>
        <w:t>The Publication SLP:DMP policies as modified through the Addendum</w:t>
      </w:r>
      <w:r w:rsidRPr="009D7AF8">
        <w:rPr>
          <w:rFonts w:cs="Arial"/>
          <w:color w:val="000000"/>
          <w:sz w:val="20"/>
          <w:szCs w:val="20"/>
          <w:shd w:val="clear" w:color="auto" w:fill="FFFFFF"/>
          <w:lang w:eastAsia="en-US"/>
        </w:rPr>
        <w:t xml:space="preserve"> </w:t>
      </w:r>
      <w:r w:rsidRPr="009D7AF8">
        <w:rPr>
          <w:rFonts w:cs="Arial"/>
          <w:sz w:val="20"/>
          <w:szCs w:val="20"/>
          <w:lang w:eastAsia="en-US"/>
        </w:rPr>
        <w:t xml:space="preserve">is the version of the plan that the city council would like to adopt. 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eastAsia="en-US"/>
        </w:rPr>
      </w:pPr>
      <w:r w:rsidRPr="009D7AF8">
        <w:rPr>
          <w:rFonts w:cs="Arial"/>
          <w:sz w:val="20"/>
          <w:szCs w:val="20"/>
          <w:lang w:eastAsia="en-US"/>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rsidR="009D7AF8" w:rsidRPr="009D7AF8" w:rsidRDefault="009D7AF8" w:rsidP="009D7AF8">
      <w:pPr>
        <w:rPr>
          <w:rFonts w:cs="Arial"/>
          <w:color w:val="1F497D"/>
          <w:sz w:val="20"/>
          <w:szCs w:val="20"/>
          <w:lang w:val="en-US" w:eastAsia="en-US"/>
        </w:rPr>
      </w:pPr>
    </w:p>
    <w:p w:rsidR="009D7AF8" w:rsidRPr="009D7AF8" w:rsidRDefault="009D7AF8" w:rsidP="009D7AF8">
      <w:pPr>
        <w:rPr>
          <w:rFonts w:cs="Arial"/>
          <w:sz w:val="20"/>
          <w:szCs w:val="20"/>
          <w:lang w:eastAsia="en-US"/>
        </w:rPr>
      </w:pPr>
      <w:r w:rsidRPr="009D7AF8">
        <w:rPr>
          <w:rFonts w:cs="Arial"/>
          <w:b/>
          <w:sz w:val="20"/>
          <w:szCs w:val="20"/>
          <w:u w:val="single"/>
          <w:lang w:eastAsia="en-US"/>
        </w:rPr>
        <w:t xml:space="preserve">Appraisal </w:t>
      </w:r>
    </w:p>
    <w:p w:rsidR="009D7AF8" w:rsidRPr="009D7AF8" w:rsidRDefault="009D7AF8" w:rsidP="009D7AF8">
      <w:pPr>
        <w:rPr>
          <w:rFonts w:cs="Arial"/>
          <w:sz w:val="20"/>
          <w:szCs w:val="20"/>
          <w:lang w:eastAsia="en-US"/>
        </w:rPr>
      </w:pPr>
    </w:p>
    <w:p w:rsidR="009D7AF8" w:rsidRPr="009D7AF8" w:rsidRDefault="009D7AF8" w:rsidP="009D7AF8">
      <w:pPr>
        <w:jc w:val="both"/>
        <w:rPr>
          <w:rFonts w:cs="Arial"/>
          <w:sz w:val="20"/>
          <w:szCs w:val="20"/>
        </w:rPr>
      </w:pPr>
      <w:r w:rsidRPr="009D7AF8">
        <w:rPr>
          <w:rFonts w:cs="Arial"/>
          <w:sz w:val="20"/>
          <w:szCs w:val="20"/>
        </w:rPr>
        <w:t xml:space="preserve">By definition a HMO provides tenanted living accommodation that is occupied by persons as their only or main residence, who are not related, and who share one or more basic amenities e.g. bathroom, kitchen, living room etc. Therefore it is considered that the principle of introducing a HMO into a predominantly residential area is acceptable as the proposed HMO and the surrounding residential properties share common characteristics by virtue of the fact that they are providing living accommodation.  The site is located within an area where residential </w:t>
      </w:r>
      <w:r w:rsidRPr="009D7AF8">
        <w:rPr>
          <w:rFonts w:cs="Arial"/>
          <w:sz w:val="20"/>
          <w:szCs w:val="20"/>
        </w:rPr>
        <w:lastRenderedPageBreak/>
        <w:t xml:space="preserve">uses are considered to be wholly appropriate and in this particular case </w:t>
      </w:r>
      <w:r w:rsidRPr="009D7AF8">
        <w:rPr>
          <w:rFonts w:cs="Arial"/>
          <w:sz w:val="20"/>
          <w:szCs w:val="20"/>
          <w:lang w:val="en-US" w:eastAsia="en-US"/>
        </w:rPr>
        <w:t>the proposal would also not result in the loss of a family house.</w:t>
      </w:r>
    </w:p>
    <w:p w:rsidR="009D7AF8" w:rsidRPr="009D7AF8" w:rsidRDefault="009D7AF8" w:rsidP="009D7AF8">
      <w:pPr>
        <w:jc w:val="both"/>
        <w:rPr>
          <w:rFonts w:cs="Arial"/>
          <w:sz w:val="20"/>
          <w:szCs w:val="20"/>
        </w:rPr>
      </w:pPr>
    </w:p>
    <w:p w:rsidR="009D7AF8" w:rsidRPr="009D7AF8" w:rsidRDefault="009D7AF8" w:rsidP="009D7AF8">
      <w:pPr>
        <w:jc w:val="both"/>
        <w:rPr>
          <w:rFonts w:cs="Arial"/>
          <w:i/>
          <w:sz w:val="20"/>
          <w:szCs w:val="20"/>
          <w:lang w:val="en-US"/>
        </w:rPr>
      </w:pPr>
      <w:r w:rsidRPr="009D7AF8">
        <w:rPr>
          <w:rFonts w:cs="Arial"/>
          <w:i/>
          <w:sz w:val="20"/>
          <w:szCs w:val="20"/>
        </w:rPr>
        <w:t xml:space="preserve">Character of the area </w:t>
      </w:r>
    </w:p>
    <w:p w:rsidR="009D7AF8" w:rsidRPr="009D7AF8" w:rsidRDefault="009D7AF8" w:rsidP="009D7AF8">
      <w:pPr>
        <w:jc w:val="both"/>
        <w:rPr>
          <w:rFonts w:cs="Arial"/>
          <w:sz w:val="20"/>
          <w:szCs w:val="20"/>
        </w:rPr>
      </w:pPr>
    </w:p>
    <w:p w:rsidR="009D7AF8" w:rsidRPr="009D7AF8" w:rsidRDefault="009D7AF8" w:rsidP="009D7AF8">
      <w:pPr>
        <w:spacing w:after="240"/>
        <w:rPr>
          <w:rFonts w:cs="Arial"/>
          <w:color w:val="000000"/>
          <w:sz w:val="20"/>
          <w:szCs w:val="20"/>
        </w:rPr>
      </w:pPr>
      <w:r w:rsidRPr="009D7AF8">
        <w:rPr>
          <w:rFonts w:cs="Arial"/>
          <w:sz w:val="20"/>
          <w:szCs w:val="20"/>
        </w:rPr>
        <w:t xml:space="preserve">Policy H1 (1) states that all properties would be required to </w:t>
      </w:r>
      <w:r w:rsidRPr="009D7AF8">
        <w:rPr>
          <w:rFonts w:cs="Arial"/>
          <w:color w:val="000000"/>
          <w:sz w:val="20"/>
          <w:szCs w:val="20"/>
        </w:rPr>
        <w:t xml:space="preserve">contribute towards the provision of a balanced mix of dwellings within the local area in terms of size, type, tenure and affordability; In determining whether the proposed mix and density of dwellings on a site is appropriate and acceptable, regard will be had to effect on the character of the area. </w:t>
      </w:r>
    </w:p>
    <w:p w:rsidR="009D7AF8" w:rsidRPr="009D7AF8" w:rsidRDefault="009D7AF8" w:rsidP="009D7AF8">
      <w:pPr>
        <w:rPr>
          <w:rFonts w:cs="Arial"/>
          <w:sz w:val="20"/>
          <w:szCs w:val="20"/>
        </w:rPr>
      </w:pPr>
      <w:r w:rsidRPr="009D7AF8">
        <w:rPr>
          <w:rFonts w:cs="Arial"/>
          <w:sz w:val="20"/>
          <w:szCs w:val="20"/>
        </w:rPr>
        <w:t xml:space="preserve">There are also other material considerations arising from the impact of the proposal which are to be assessed. These include: “the intensification of use, highway safety, and residential amenity of future and existing occupiers”.  </w:t>
      </w:r>
      <w:r w:rsidRPr="009D7AF8">
        <w:rPr>
          <w:rFonts w:cs="Arial"/>
          <w:color w:val="000000"/>
          <w:sz w:val="20"/>
          <w:szCs w:val="20"/>
        </w:rPr>
        <w:t xml:space="preserve">The City Council does not have a ‘threshold limit’ on the number of HMO within an area, however, policy H1 is clear that regard has to be had to maintaining a balanced mix of dwellings within the area. </w:t>
      </w:r>
      <w:r w:rsidRPr="009D7AF8">
        <w:rPr>
          <w:rFonts w:cs="Arial"/>
          <w:sz w:val="20"/>
          <w:szCs w:val="20"/>
        </w:rPr>
        <w:t xml:space="preserve">An initial record check would suggest that there are no mandatory HMO licence and no additional HMO licences along this particular section of </w:t>
      </w:r>
      <w:proofErr w:type="spellStart"/>
      <w:r w:rsidRPr="009D7AF8">
        <w:rPr>
          <w:rFonts w:cs="Arial"/>
          <w:sz w:val="20"/>
          <w:szCs w:val="20"/>
        </w:rPr>
        <w:t>Fitzwarren</w:t>
      </w:r>
      <w:proofErr w:type="spellEnd"/>
      <w:r w:rsidRPr="009D7AF8">
        <w:rPr>
          <w:rFonts w:cs="Arial"/>
          <w:sz w:val="20"/>
          <w:szCs w:val="20"/>
        </w:rPr>
        <w:t xml:space="preserve"> Street.</w:t>
      </w:r>
    </w:p>
    <w:p w:rsidR="009D7AF8" w:rsidRPr="009D7AF8" w:rsidRDefault="009D7AF8" w:rsidP="009D7AF8">
      <w:pPr>
        <w:jc w:val="both"/>
        <w:rPr>
          <w:rFonts w:cs="Arial"/>
          <w:sz w:val="20"/>
          <w:szCs w:val="20"/>
        </w:rPr>
      </w:pPr>
    </w:p>
    <w:p w:rsidR="009D7AF8" w:rsidRPr="009D7AF8" w:rsidRDefault="009D7AF8" w:rsidP="009D7AF8">
      <w:pPr>
        <w:jc w:val="both"/>
        <w:rPr>
          <w:rFonts w:cs="Arial"/>
          <w:sz w:val="20"/>
          <w:szCs w:val="20"/>
        </w:rPr>
      </w:pPr>
      <w:r w:rsidRPr="009D7AF8">
        <w:rPr>
          <w:rFonts w:cs="Arial"/>
          <w:sz w:val="20"/>
          <w:szCs w:val="20"/>
        </w:rPr>
        <w:t xml:space="preserve">On this basis it is considered that the proposed change of use would not lead to a material change in character for the immediate area and therefore the proposed use would not warrant a refusal of the application on these grounds. </w:t>
      </w:r>
    </w:p>
    <w:p w:rsidR="009D7AF8" w:rsidRPr="009D7AF8" w:rsidRDefault="009D7AF8" w:rsidP="009D7AF8">
      <w:pPr>
        <w:jc w:val="both"/>
        <w:rPr>
          <w:rFonts w:cs="Arial"/>
          <w:sz w:val="20"/>
          <w:szCs w:val="20"/>
        </w:rPr>
      </w:pPr>
    </w:p>
    <w:p w:rsidR="009D7AF8" w:rsidRPr="009D7AF8" w:rsidRDefault="009D7AF8" w:rsidP="009D7AF8">
      <w:pPr>
        <w:jc w:val="both"/>
        <w:rPr>
          <w:rFonts w:cs="Arial"/>
          <w:sz w:val="20"/>
          <w:szCs w:val="20"/>
          <w:u w:val="single"/>
        </w:rPr>
      </w:pPr>
      <w:r w:rsidRPr="009D7AF8">
        <w:rPr>
          <w:rFonts w:cs="Arial"/>
          <w:sz w:val="20"/>
          <w:szCs w:val="20"/>
          <w:u w:val="single"/>
        </w:rPr>
        <w:t>Design/Visual Amenity</w:t>
      </w:r>
    </w:p>
    <w:p w:rsidR="009D7AF8" w:rsidRPr="009D7AF8" w:rsidRDefault="009D7AF8" w:rsidP="009D7AF8">
      <w:pPr>
        <w:jc w:val="both"/>
        <w:rPr>
          <w:rFonts w:cs="Arial"/>
          <w:sz w:val="20"/>
          <w:szCs w:val="20"/>
          <w:u w:val="single"/>
        </w:rPr>
      </w:pPr>
    </w:p>
    <w:p w:rsidR="009D7AF8" w:rsidRPr="009D7AF8" w:rsidRDefault="009D7AF8" w:rsidP="009D7AF8">
      <w:pPr>
        <w:jc w:val="both"/>
        <w:rPr>
          <w:rFonts w:cs="Arial"/>
          <w:sz w:val="20"/>
          <w:szCs w:val="20"/>
        </w:rPr>
      </w:pPr>
      <w:r w:rsidRPr="009D7AF8">
        <w:rPr>
          <w:rFonts w:cs="Arial"/>
          <w:sz w:val="20"/>
          <w:szCs w:val="20"/>
        </w:rPr>
        <w:t>There would not be an extensions or alterations to the existing dwelling in order to accommodate the proposal.</w:t>
      </w:r>
    </w:p>
    <w:p w:rsidR="009D7AF8" w:rsidRPr="009D7AF8" w:rsidRDefault="009D7AF8" w:rsidP="009D7AF8">
      <w:pPr>
        <w:rPr>
          <w:rFonts w:cs="Arial"/>
          <w:noProof/>
          <w:sz w:val="20"/>
          <w:szCs w:val="20"/>
          <w:lang w:val="en-US" w:eastAsia="en-US"/>
        </w:rPr>
      </w:pPr>
    </w:p>
    <w:p w:rsidR="009D7AF8" w:rsidRPr="009D7AF8" w:rsidRDefault="009D7AF8" w:rsidP="009D7AF8">
      <w:pPr>
        <w:rPr>
          <w:rFonts w:cs="Arial"/>
          <w:sz w:val="20"/>
          <w:szCs w:val="20"/>
          <w:u w:val="single"/>
        </w:rPr>
      </w:pPr>
      <w:r w:rsidRPr="009D7AF8">
        <w:rPr>
          <w:rFonts w:cs="Arial"/>
          <w:sz w:val="20"/>
          <w:szCs w:val="20"/>
          <w:u w:val="single"/>
        </w:rPr>
        <w:t>Residential Amenity</w:t>
      </w:r>
    </w:p>
    <w:p w:rsidR="009D7AF8" w:rsidRPr="009D7AF8" w:rsidRDefault="009D7AF8" w:rsidP="009D7AF8">
      <w:pPr>
        <w:rPr>
          <w:rFonts w:cs="Arial"/>
          <w:sz w:val="20"/>
          <w:szCs w:val="20"/>
          <w:u w:val="single"/>
        </w:rPr>
      </w:pPr>
    </w:p>
    <w:p w:rsidR="009D7AF8" w:rsidRPr="009D7AF8" w:rsidRDefault="009D7AF8" w:rsidP="009D7AF8">
      <w:pPr>
        <w:jc w:val="both"/>
        <w:rPr>
          <w:rFonts w:cs="Arial"/>
          <w:sz w:val="20"/>
          <w:szCs w:val="18"/>
          <w:lang w:eastAsia="en-US"/>
        </w:rPr>
      </w:pPr>
      <w:r w:rsidRPr="009D7AF8">
        <w:rPr>
          <w:rFonts w:cs="Arial"/>
          <w:sz w:val="20"/>
          <w:szCs w:val="18"/>
          <w:lang w:eastAsia="en-US"/>
        </w:rPr>
        <w:t xml:space="preserve">As the property is a terraced property it share party walls with the adjacent properties. It is not anticipated that the use of the property for HMO residential purposes will generate noise and disturbance over and beyond what would normally be anticipated for a dwelling of this size. Likewise, the existing use would be compatible with the proposed use. </w:t>
      </w:r>
    </w:p>
    <w:p w:rsidR="009D7AF8" w:rsidRPr="009D7AF8" w:rsidRDefault="009D7AF8" w:rsidP="009D7AF8">
      <w:pPr>
        <w:rPr>
          <w:rFonts w:cs="Arial"/>
          <w:sz w:val="20"/>
          <w:szCs w:val="20"/>
          <w:u w:val="single"/>
        </w:rPr>
      </w:pPr>
    </w:p>
    <w:p w:rsidR="009D7AF8" w:rsidRPr="009D7AF8" w:rsidRDefault="009D7AF8" w:rsidP="009D7AF8">
      <w:pPr>
        <w:jc w:val="both"/>
        <w:rPr>
          <w:rFonts w:cs="Arial"/>
          <w:i/>
          <w:sz w:val="20"/>
          <w:szCs w:val="20"/>
        </w:rPr>
      </w:pPr>
      <w:r w:rsidRPr="009D7AF8">
        <w:rPr>
          <w:rFonts w:cs="Arial"/>
          <w:i/>
          <w:sz w:val="20"/>
          <w:szCs w:val="20"/>
        </w:rPr>
        <w:t>Future Occupiers</w:t>
      </w:r>
    </w:p>
    <w:p w:rsidR="009D7AF8" w:rsidRPr="009D7AF8" w:rsidRDefault="009D7AF8" w:rsidP="009D7AF8">
      <w:pPr>
        <w:jc w:val="both"/>
        <w:rPr>
          <w:rFonts w:cs="Arial"/>
          <w:i/>
          <w:sz w:val="20"/>
          <w:szCs w:val="20"/>
        </w:rPr>
      </w:pPr>
    </w:p>
    <w:p w:rsidR="009D7AF8" w:rsidRDefault="009D7AF8" w:rsidP="009D7AF8">
      <w:pPr>
        <w:jc w:val="both"/>
        <w:rPr>
          <w:rFonts w:cs="Arial"/>
          <w:sz w:val="20"/>
          <w:szCs w:val="20"/>
          <w:lang w:val="en-US" w:eastAsia="en-US"/>
        </w:rPr>
      </w:pPr>
      <w:r w:rsidRPr="009D7AF8">
        <w:rPr>
          <w:rFonts w:cs="Arial"/>
          <w:sz w:val="20"/>
          <w:szCs w:val="20"/>
          <w:lang w:val="en-US" w:eastAsia="en-US"/>
        </w:rPr>
        <w:t>Policy DES7 of the City of Salford Unitary Development Plan 2004-2016 (2009) (UDP) requires that all new development provides potential users with a satisfactory level of amenity, in terms of space, sunlight, daylight, privacy, aspect and layout. This policy reflects an aim of the National Planning Policy to ensure that developments provide a high standard of amenity for existing and future users.</w:t>
      </w:r>
    </w:p>
    <w:p w:rsidR="009D7AF8" w:rsidRDefault="009D7AF8" w:rsidP="009D7AF8">
      <w:pPr>
        <w:jc w:val="both"/>
        <w:rPr>
          <w:rFonts w:cs="Arial"/>
          <w:sz w:val="20"/>
          <w:szCs w:val="20"/>
          <w:lang w:val="en-US" w:eastAsia="en-US"/>
        </w:rPr>
      </w:pPr>
    </w:p>
    <w:p w:rsidR="009D7AF8" w:rsidRPr="009D7AF8" w:rsidRDefault="009D7AF8" w:rsidP="009D7AF8">
      <w:pPr>
        <w:jc w:val="both"/>
        <w:rPr>
          <w:rFonts w:cs="Arial"/>
          <w:sz w:val="20"/>
          <w:szCs w:val="20"/>
          <w:lang w:val="en-US" w:eastAsia="en-US"/>
        </w:rPr>
      </w:pPr>
      <w:r>
        <w:rPr>
          <w:rFonts w:cs="Arial"/>
          <w:sz w:val="20"/>
          <w:szCs w:val="20"/>
          <w:lang w:val="en-US" w:eastAsia="en-US"/>
        </w:rPr>
        <w:t xml:space="preserve">This current layout is identical to that previously refused and there have been no material changes in local or national policy that would enable the LPA to reach a different view. </w:t>
      </w:r>
    </w:p>
    <w:p w:rsidR="009D7AF8" w:rsidRPr="009D7AF8" w:rsidRDefault="009D7AF8" w:rsidP="009D7AF8">
      <w:pPr>
        <w:jc w:val="both"/>
        <w:rPr>
          <w:rFonts w:cs="Arial"/>
          <w:sz w:val="20"/>
          <w:szCs w:val="20"/>
          <w:lang w:val="en-US" w:eastAsia="en-US"/>
        </w:rPr>
      </w:pPr>
    </w:p>
    <w:p w:rsidR="009D7AF8" w:rsidRPr="009D7AF8" w:rsidRDefault="009D7AF8" w:rsidP="009D7AF8">
      <w:pPr>
        <w:jc w:val="both"/>
        <w:rPr>
          <w:rFonts w:cs="Arial"/>
          <w:sz w:val="20"/>
          <w:szCs w:val="20"/>
          <w:lang w:val="en-US" w:eastAsia="en-US"/>
        </w:rPr>
      </w:pPr>
      <w:r w:rsidRPr="009D7AF8">
        <w:rPr>
          <w:rFonts w:cs="Arial"/>
          <w:sz w:val="20"/>
          <w:szCs w:val="20"/>
          <w:lang w:val="en-US" w:eastAsia="en-US"/>
        </w:rPr>
        <w:t xml:space="preserve">It is noted that all of the proposed bedrooms are capable of accommodating a bed and furnishings with unobstructed access to them. </w:t>
      </w:r>
    </w:p>
    <w:p w:rsidR="009D7AF8" w:rsidRPr="009D7AF8" w:rsidRDefault="009D7AF8" w:rsidP="009D7AF8">
      <w:pPr>
        <w:jc w:val="both"/>
        <w:rPr>
          <w:rFonts w:cs="Arial"/>
          <w:sz w:val="20"/>
          <w:szCs w:val="20"/>
          <w:lang w:val="en-US" w:eastAsia="en-US"/>
        </w:rPr>
      </w:pPr>
    </w:p>
    <w:p w:rsidR="009D7AF8" w:rsidRPr="009D7AF8" w:rsidRDefault="009D7AF8" w:rsidP="009D7AF8">
      <w:pPr>
        <w:jc w:val="both"/>
        <w:rPr>
          <w:rFonts w:cs="Arial"/>
          <w:sz w:val="20"/>
          <w:szCs w:val="20"/>
          <w:lang w:val="en-US" w:eastAsia="en-US"/>
        </w:rPr>
      </w:pPr>
      <w:r w:rsidRPr="009D7AF8">
        <w:rPr>
          <w:rFonts w:cs="Arial"/>
          <w:sz w:val="20"/>
          <w:szCs w:val="20"/>
          <w:lang w:val="en-US" w:eastAsia="en-US"/>
        </w:rPr>
        <w:t xml:space="preserve">The Council’s handbook “Salford City Council’s standards for houses in multiple occupation” (SFHMO) offers guidance to landlords on the physical standards that are required for licensing purposes including minimum room sizes, bathroom and kitchen facilities and fire safety provision. Whilst this document does not form part of the development plan for the area, it does nonetheless provide useful Council guidance in respect of acceptable room sizes. Consequently, and in the absence of any detailed planning policies relating to this matter, the LPA consider that it is reasonable to have regard to this guidance as it is a Council document and has been prepared to ensure that houses in multiple occupation (HMO) adhere to acceptable living standards. </w:t>
      </w:r>
    </w:p>
    <w:p w:rsidR="009D7AF8" w:rsidRPr="009D7AF8" w:rsidRDefault="009D7AF8" w:rsidP="009D7AF8">
      <w:pPr>
        <w:jc w:val="both"/>
        <w:rPr>
          <w:rFonts w:cs="Arial"/>
          <w:sz w:val="20"/>
          <w:szCs w:val="20"/>
          <w:lang w:val="en-US" w:eastAsia="en-US"/>
        </w:rPr>
      </w:pPr>
    </w:p>
    <w:p w:rsidR="009D7AF8" w:rsidRPr="009D7AF8" w:rsidRDefault="009D7AF8" w:rsidP="009D7AF8">
      <w:pPr>
        <w:jc w:val="both"/>
        <w:rPr>
          <w:rFonts w:cs="Arial"/>
          <w:sz w:val="20"/>
          <w:szCs w:val="20"/>
          <w:lang w:val="en-US" w:eastAsia="en-US"/>
        </w:rPr>
      </w:pPr>
      <w:r w:rsidRPr="009D7AF8">
        <w:rPr>
          <w:rFonts w:cs="Arial"/>
          <w:sz w:val="20"/>
          <w:szCs w:val="20"/>
          <w:lang w:val="en-US" w:eastAsia="en-US"/>
        </w:rPr>
        <w:t>The proposed development is to provide for a 4 bedroom (4 person) HMO. For a proposed property of this size and given the size of the bedrooms, the SFHMO advises that the lounge area should be a minimum of 11m2 and a separate dining room should be provided also with a minimum of floor space of 11m2.</w:t>
      </w:r>
    </w:p>
    <w:p w:rsidR="009D7AF8" w:rsidRPr="009D7AF8" w:rsidRDefault="009D7AF8" w:rsidP="009D7AF8">
      <w:pPr>
        <w:jc w:val="both"/>
        <w:rPr>
          <w:rFonts w:cs="Arial"/>
          <w:sz w:val="20"/>
          <w:szCs w:val="20"/>
          <w:lang w:val="en-US" w:eastAsia="en-US"/>
        </w:rPr>
      </w:pPr>
    </w:p>
    <w:p w:rsidR="009D7AF8" w:rsidRPr="009D7AF8" w:rsidRDefault="009D7AF8" w:rsidP="009D7AF8">
      <w:pPr>
        <w:jc w:val="both"/>
        <w:rPr>
          <w:rFonts w:cs="Arial"/>
          <w:sz w:val="20"/>
          <w:szCs w:val="20"/>
          <w:lang w:val="en-US" w:eastAsia="en-US"/>
        </w:rPr>
      </w:pPr>
      <w:r w:rsidRPr="009D7AF8">
        <w:rPr>
          <w:rFonts w:cs="Arial"/>
          <w:sz w:val="20"/>
          <w:szCs w:val="20"/>
          <w:lang w:val="en-US" w:eastAsia="en-US"/>
        </w:rPr>
        <w:t xml:space="preserve">Therefore given the restricted nature of the layout shown in the submitted plans, it is the Local Planning Authority’s view that this would not provide a reasonable amount of useable internal floorspace in addition to that within individual bedrooms leading to cramped form of development leading to an unacceptable level of amenity for potential future occupiers. </w:t>
      </w:r>
    </w:p>
    <w:p w:rsidR="009D7AF8" w:rsidRPr="009D7AF8" w:rsidRDefault="009D7AF8" w:rsidP="009D7AF8">
      <w:pPr>
        <w:jc w:val="both"/>
        <w:rPr>
          <w:rFonts w:cs="Arial"/>
          <w:sz w:val="20"/>
          <w:szCs w:val="20"/>
          <w:lang w:val="en-US" w:eastAsia="en-US"/>
        </w:rPr>
      </w:pPr>
    </w:p>
    <w:p w:rsidR="009D7AF8" w:rsidRPr="009D7AF8" w:rsidRDefault="009D7AF8" w:rsidP="009D7AF8">
      <w:pPr>
        <w:jc w:val="both"/>
        <w:rPr>
          <w:rFonts w:cs="Arial"/>
          <w:sz w:val="20"/>
          <w:szCs w:val="20"/>
          <w:lang w:val="en-US" w:eastAsia="en-US"/>
        </w:rPr>
      </w:pPr>
      <w:r w:rsidRPr="009D7AF8">
        <w:rPr>
          <w:rFonts w:cs="Arial"/>
          <w:sz w:val="20"/>
          <w:szCs w:val="20"/>
          <w:lang w:val="en-US" w:eastAsia="en-US"/>
        </w:rPr>
        <w:t>The Councils HMO licensing team has advised that the rooms do not comply with the standards, and therefore an objection has been raised by the HMO licensing team in that respect.</w:t>
      </w:r>
      <w:r w:rsidRPr="009D7AF8">
        <w:rPr>
          <w:rFonts w:cs="Arial"/>
          <w:sz w:val="20"/>
          <w:szCs w:val="20"/>
          <w:lang w:eastAsia="en-US"/>
        </w:rPr>
        <w:t xml:space="preserve"> </w:t>
      </w:r>
      <w:r w:rsidRPr="009D7AF8">
        <w:rPr>
          <w:rFonts w:cs="Arial"/>
          <w:sz w:val="20"/>
          <w:szCs w:val="20"/>
          <w:lang w:val="en-US" w:eastAsia="en-US"/>
        </w:rPr>
        <w:t xml:space="preserve"> In light of all of these factors, the LPA consider that the proposed development would not provide future occupiers of the development with sufficient living space/standards contrary to the NPPF and policy DES7 of the adopted UDP.</w:t>
      </w:r>
    </w:p>
    <w:p w:rsidR="009D7AF8" w:rsidRPr="009D7AF8" w:rsidRDefault="009D7AF8" w:rsidP="009D7AF8">
      <w:pPr>
        <w:rPr>
          <w:rFonts w:cs="Arial"/>
          <w:i/>
          <w:sz w:val="20"/>
          <w:szCs w:val="20"/>
        </w:rPr>
      </w:pPr>
    </w:p>
    <w:p w:rsidR="009D7AF8" w:rsidRPr="009D7AF8" w:rsidRDefault="009D7AF8" w:rsidP="009D7AF8">
      <w:pPr>
        <w:jc w:val="both"/>
        <w:rPr>
          <w:rFonts w:cs="Arial"/>
          <w:sz w:val="20"/>
          <w:szCs w:val="20"/>
          <w:u w:val="single"/>
        </w:rPr>
      </w:pPr>
      <w:r w:rsidRPr="009D7AF8">
        <w:rPr>
          <w:rFonts w:cs="Arial"/>
          <w:sz w:val="20"/>
          <w:szCs w:val="20"/>
          <w:u w:val="single"/>
        </w:rPr>
        <w:t>Highways and Parking</w:t>
      </w:r>
    </w:p>
    <w:p w:rsidR="009D7AF8" w:rsidRPr="009D7AF8" w:rsidRDefault="009D7AF8" w:rsidP="009D7AF8">
      <w:pPr>
        <w:jc w:val="both"/>
        <w:rPr>
          <w:rFonts w:cs="Arial"/>
          <w:sz w:val="20"/>
          <w:szCs w:val="20"/>
          <w:u w:val="single"/>
        </w:rPr>
      </w:pPr>
    </w:p>
    <w:p w:rsidR="009D7AF8" w:rsidRPr="009D7AF8" w:rsidRDefault="009D7AF8" w:rsidP="009D7AF8">
      <w:pPr>
        <w:spacing w:after="240"/>
        <w:jc w:val="both"/>
        <w:rPr>
          <w:rFonts w:cs="Arial"/>
          <w:color w:val="000000"/>
          <w:sz w:val="20"/>
          <w:szCs w:val="20"/>
          <w:lang w:val="en-US"/>
        </w:rPr>
      </w:pPr>
      <w:r w:rsidRPr="009D7AF8">
        <w:rPr>
          <w:rFonts w:cs="Arial"/>
          <w:sz w:val="20"/>
          <w:szCs w:val="20"/>
          <w:lang w:val="en-US" w:eastAsia="en-US"/>
        </w:rPr>
        <w:t xml:space="preserve">The applicant seeks approval for </w:t>
      </w:r>
      <w:r w:rsidRPr="009D7AF8">
        <w:rPr>
          <w:rFonts w:cs="Arial"/>
          <w:color w:val="000000"/>
          <w:sz w:val="20"/>
          <w:szCs w:val="20"/>
          <w:lang w:val="en-US"/>
        </w:rPr>
        <w:t>change of use from a 3 bed Dwelling (C3) to a 4 bed HMO (C4).</w:t>
      </w:r>
    </w:p>
    <w:p w:rsidR="009D7AF8" w:rsidRPr="009D7AF8" w:rsidRDefault="009D7AF8" w:rsidP="009D7AF8">
      <w:pPr>
        <w:spacing w:after="240"/>
        <w:jc w:val="both"/>
        <w:rPr>
          <w:rFonts w:cs="Arial"/>
          <w:sz w:val="20"/>
          <w:szCs w:val="20"/>
          <w:lang w:val="en-US" w:eastAsia="en-US"/>
        </w:rPr>
      </w:pPr>
      <w:r w:rsidRPr="009D7AF8">
        <w:rPr>
          <w:rFonts w:cs="Arial"/>
          <w:sz w:val="20"/>
          <w:szCs w:val="20"/>
          <w:lang w:val="en-US" w:eastAsia="en-US"/>
        </w:rPr>
        <w:t xml:space="preserve">The site is located on </w:t>
      </w:r>
      <w:proofErr w:type="spellStart"/>
      <w:r w:rsidRPr="009D7AF8">
        <w:rPr>
          <w:rFonts w:cs="Arial"/>
          <w:sz w:val="20"/>
          <w:szCs w:val="20"/>
          <w:lang w:val="en-US" w:eastAsia="en-US"/>
        </w:rPr>
        <w:t>Fitzwarren</w:t>
      </w:r>
      <w:proofErr w:type="spellEnd"/>
      <w:r w:rsidRPr="009D7AF8">
        <w:rPr>
          <w:rFonts w:cs="Arial"/>
          <w:sz w:val="20"/>
          <w:szCs w:val="20"/>
          <w:lang w:val="en-US" w:eastAsia="en-US"/>
        </w:rPr>
        <w:t xml:space="preserve"> Street, within a residential neighbourhood close by to Salford Shopping Centre. There are bus stops located within 150m walk off the site on Liverpool Road and </w:t>
      </w:r>
      <w:proofErr w:type="spellStart"/>
      <w:r w:rsidRPr="009D7AF8">
        <w:rPr>
          <w:rFonts w:cs="Arial"/>
          <w:sz w:val="20"/>
          <w:szCs w:val="20"/>
          <w:lang w:val="en-US" w:eastAsia="en-US"/>
        </w:rPr>
        <w:t>Fitzwarren</w:t>
      </w:r>
      <w:proofErr w:type="spellEnd"/>
      <w:r w:rsidRPr="009D7AF8">
        <w:rPr>
          <w:rFonts w:cs="Arial"/>
          <w:sz w:val="20"/>
          <w:szCs w:val="20"/>
          <w:lang w:val="en-US" w:eastAsia="en-US"/>
        </w:rPr>
        <w:t xml:space="preserve"> Street which provides regular connections to Salford Quays, Pendleton, Manchester Town Centre and more. Therefore, the LPA consider the development to be located in a highly sustainable area.</w:t>
      </w:r>
    </w:p>
    <w:p w:rsidR="009D7AF8" w:rsidRPr="009D7AF8" w:rsidRDefault="009D7AF8" w:rsidP="009D7AF8">
      <w:pPr>
        <w:spacing w:after="240"/>
        <w:jc w:val="both"/>
        <w:rPr>
          <w:rFonts w:cs="Arial"/>
          <w:sz w:val="20"/>
          <w:szCs w:val="20"/>
          <w:lang w:val="en-US" w:eastAsia="en-US"/>
        </w:rPr>
      </w:pPr>
      <w:r w:rsidRPr="009D7AF8">
        <w:rPr>
          <w:rFonts w:cs="Arial"/>
          <w:sz w:val="20"/>
          <w:szCs w:val="20"/>
          <w:lang w:val="en-US" w:eastAsia="en-US"/>
        </w:rPr>
        <w:t xml:space="preserve">It is noted that no details of parking provisions are provided within this planning application. Therefore, it is anticipated that parking associated with the property is likely to take place on the surrounding streets. </w:t>
      </w:r>
    </w:p>
    <w:p w:rsidR="009D7AF8" w:rsidRPr="009D7AF8" w:rsidRDefault="009D7AF8" w:rsidP="009D7AF8">
      <w:pPr>
        <w:spacing w:after="240"/>
        <w:jc w:val="both"/>
        <w:rPr>
          <w:rFonts w:cs="Arial"/>
          <w:sz w:val="20"/>
          <w:szCs w:val="20"/>
          <w:lang w:val="en-US" w:eastAsia="en-US"/>
        </w:rPr>
      </w:pPr>
      <w:r w:rsidRPr="009D7AF8">
        <w:rPr>
          <w:rFonts w:cs="Arial"/>
          <w:sz w:val="20"/>
          <w:szCs w:val="20"/>
          <w:lang w:val="en-US" w:eastAsia="en-US"/>
        </w:rPr>
        <w:t>Although the development may attract additional on-street parking, due to the minor scale of the development and in accordance to NPPF it would not be considered to have a “severe” impact on local highway network.</w:t>
      </w:r>
    </w:p>
    <w:p w:rsidR="009D7AF8" w:rsidRPr="009D7AF8" w:rsidRDefault="009D7AF8" w:rsidP="009D7AF8">
      <w:pPr>
        <w:spacing w:after="240"/>
        <w:jc w:val="both"/>
        <w:rPr>
          <w:rFonts w:cs="Arial"/>
          <w:sz w:val="20"/>
          <w:szCs w:val="20"/>
          <w:lang w:val="en-US" w:eastAsia="en-US"/>
        </w:rPr>
      </w:pPr>
      <w:r w:rsidRPr="009D7AF8">
        <w:rPr>
          <w:rFonts w:cs="Arial"/>
          <w:sz w:val="20"/>
          <w:szCs w:val="20"/>
          <w:lang w:val="en-US" w:eastAsia="en-US"/>
        </w:rPr>
        <w:t>In order to improve the sustainability of the site the LPA would recommend that the applicant provides cycle parking to accommodate a minimum of 2no cycles, be provided within the rear yard. The cycle parking should be a secure cycle locker with locking points to provide 50% cycle parking. There is suitable space for this to be installed in the rear yard keeping the cycle store away from any line of sight of passing pedestrians. A condition could be attached to ensure this.</w:t>
      </w:r>
    </w:p>
    <w:p w:rsidR="009D7AF8" w:rsidRPr="009D7AF8" w:rsidRDefault="009D7AF8" w:rsidP="009D7AF8">
      <w:pPr>
        <w:jc w:val="both"/>
        <w:rPr>
          <w:rFonts w:cs="Arial"/>
          <w:bCs/>
          <w:sz w:val="20"/>
          <w:szCs w:val="20"/>
          <w:lang w:val="en-US" w:eastAsia="en-US"/>
        </w:rPr>
      </w:pPr>
      <w:r w:rsidRPr="009D7AF8">
        <w:rPr>
          <w:rFonts w:cs="Arial"/>
          <w:bCs/>
          <w:sz w:val="20"/>
          <w:szCs w:val="20"/>
          <w:lang w:val="en-US" w:eastAsia="en-US"/>
        </w:rPr>
        <w:t>Due to the small nature of the application and minimal effect the application is likely to have on the surrounding highway network the Local Planning Authority has no objections to the proposed application. The proposal is therefore considered to be in accordance with polices A2, A8 and A10 of the adopted UDP.</w:t>
      </w:r>
    </w:p>
    <w:p w:rsidR="009D7AF8" w:rsidRPr="009D7AF8" w:rsidRDefault="009D7AF8" w:rsidP="009D7AF8">
      <w:pPr>
        <w:jc w:val="both"/>
        <w:rPr>
          <w:rFonts w:cs="Arial"/>
          <w:sz w:val="20"/>
          <w:szCs w:val="20"/>
          <w:u w:val="single"/>
        </w:rPr>
      </w:pPr>
    </w:p>
    <w:p w:rsidR="009D7AF8" w:rsidRPr="009D7AF8" w:rsidRDefault="009D7AF8" w:rsidP="009D7AF8">
      <w:pPr>
        <w:jc w:val="both"/>
        <w:rPr>
          <w:rFonts w:cs="Arial"/>
          <w:sz w:val="20"/>
          <w:szCs w:val="20"/>
          <w:u w:val="single"/>
        </w:rPr>
      </w:pPr>
      <w:r w:rsidRPr="009D7AF8">
        <w:rPr>
          <w:rFonts w:cs="Arial"/>
          <w:sz w:val="20"/>
          <w:szCs w:val="20"/>
          <w:u w:val="single"/>
        </w:rPr>
        <w:t>Drainage/Flood Risk</w:t>
      </w:r>
    </w:p>
    <w:p w:rsidR="009D7AF8" w:rsidRPr="009D7AF8" w:rsidRDefault="009D7AF8" w:rsidP="009D7AF8">
      <w:pPr>
        <w:rPr>
          <w:rFonts w:cs="Arial"/>
          <w:sz w:val="20"/>
          <w:szCs w:val="20"/>
        </w:rPr>
      </w:pPr>
    </w:p>
    <w:p w:rsidR="009D7AF8" w:rsidRPr="009D7AF8" w:rsidRDefault="009D7AF8" w:rsidP="009D7AF8">
      <w:pPr>
        <w:rPr>
          <w:rFonts w:cs="Arial"/>
          <w:sz w:val="20"/>
          <w:szCs w:val="20"/>
          <w:lang w:val="en-US"/>
        </w:rPr>
      </w:pPr>
      <w:r w:rsidRPr="009D7AF8">
        <w:rPr>
          <w:rFonts w:cs="Arial"/>
          <w:bCs/>
          <w:sz w:val="20"/>
          <w:szCs w:val="20"/>
        </w:rPr>
        <w:t xml:space="preserve">The Council’s Drainage Engineer has been consulted and has advised that there are no objections to the proposal subject to an informative being attached to advise that </w:t>
      </w:r>
      <w:r w:rsidRPr="009D7AF8">
        <w:rPr>
          <w:rFonts w:cs="Arial"/>
          <w:sz w:val="20"/>
          <w:szCs w:val="20"/>
        </w:rPr>
        <w:t>all drainage works should be undertaken in accordance with Building Regulations Approved Document H.</w:t>
      </w:r>
    </w:p>
    <w:p w:rsidR="009D7AF8" w:rsidRPr="009D7AF8" w:rsidRDefault="009D7AF8" w:rsidP="009D7AF8">
      <w:pPr>
        <w:jc w:val="both"/>
        <w:rPr>
          <w:rFonts w:cs="Arial"/>
          <w:bCs/>
          <w:sz w:val="20"/>
          <w:szCs w:val="20"/>
        </w:rPr>
      </w:pPr>
    </w:p>
    <w:p w:rsidR="009D7AF8" w:rsidRPr="009D7AF8" w:rsidRDefault="009D7AF8" w:rsidP="009D7AF8">
      <w:pPr>
        <w:jc w:val="both"/>
        <w:rPr>
          <w:rFonts w:cs="Arial"/>
          <w:bCs/>
          <w:sz w:val="20"/>
          <w:szCs w:val="20"/>
          <w:u w:val="single"/>
        </w:rPr>
      </w:pPr>
      <w:r w:rsidRPr="009D7AF8">
        <w:rPr>
          <w:rFonts w:cs="Arial"/>
          <w:sz w:val="20"/>
          <w:szCs w:val="20"/>
          <w:u w:val="single"/>
        </w:rPr>
        <w:t>Waste/Refuse</w:t>
      </w:r>
    </w:p>
    <w:p w:rsidR="009D7AF8" w:rsidRPr="009D7AF8" w:rsidRDefault="009D7AF8" w:rsidP="009D7AF8">
      <w:pPr>
        <w:jc w:val="both"/>
        <w:rPr>
          <w:rFonts w:cs="Arial"/>
          <w:sz w:val="20"/>
          <w:szCs w:val="20"/>
          <w:lang w:val="en-US"/>
        </w:rPr>
      </w:pPr>
    </w:p>
    <w:p w:rsidR="009D7AF8" w:rsidRPr="009D7AF8" w:rsidRDefault="009D7AF8" w:rsidP="009D7AF8">
      <w:pPr>
        <w:jc w:val="both"/>
        <w:rPr>
          <w:rFonts w:cs="Arial"/>
          <w:sz w:val="20"/>
          <w:szCs w:val="20"/>
        </w:rPr>
      </w:pPr>
      <w:r w:rsidRPr="009D7AF8">
        <w:rPr>
          <w:rFonts w:cs="Arial"/>
          <w:sz w:val="20"/>
          <w:szCs w:val="20"/>
        </w:rPr>
        <w:t xml:space="preserve">At present the property’s refuse bins are located in the rear yard and this will continue to be the case. There is sufficient remaining space within the rear yard area to store the required number of refuse bins clear of the highway prior to their collection dates. </w:t>
      </w:r>
    </w:p>
    <w:p w:rsidR="009D7AF8" w:rsidRPr="009D7AF8" w:rsidRDefault="009D7AF8" w:rsidP="009D7AF8">
      <w:pPr>
        <w:jc w:val="both"/>
        <w:rPr>
          <w:rFonts w:cs="Arial"/>
          <w:b/>
          <w:bCs/>
          <w:sz w:val="20"/>
          <w:szCs w:val="20"/>
        </w:rPr>
      </w:pPr>
    </w:p>
    <w:p w:rsidR="009D7AF8" w:rsidRPr="009D7AF8" w:rsidRDefault="009D7AF8" w:rsidP="009D7AF8">
      <w:pPr>
        <w:rPr>
          <w:rFonts w:cs="Arial"/>
          <w:b/>
          <w:bCs/>
          <w:sz w:val="22"/>
          <w:szCs w:val="22"/>
          <w:lang w:val="en-US" w:eastAsia="en-US"/>
        </w:rPr>
      </w:pPr>
      <w:r w:rsidRPr="009D7AF8">
        <w:rPr>
          <w:rFonts w:cs="Arial"/>
          <w:b/>
          <w:bCs/>
          <w:sz w:val="22"/>
          <w:szCs w:val="22"/>
          <w:lang w:val="en-US" w:eastAsia="en-US"/>
        </w:rPr>
        <w:t>Refuse</w:t>
      </w:r>
    </w:p>
    <w:p w:rsidR="009D7AF8" w:rsidRPr="009D7AF8" w:rsidRDefault="009D7AF8" w:rsidP="009D7AF8">
      <w:pPr>
        <w:ind w:left="567" w:hanging="567"/>
        <w:rPr>
          <w:rFonts w:cs="Arial"/>
          <w:sz w:val="20"/>
          <w:szCs w:val="20"/>
          <w:lang w:val="en-US" w:eastAsia="en-US"/>
        </w:rPr>
      </w:pPr>
    </w:p>
    <w:p w:rsidR="009D7AF8" w:rsidRPr="009D7AF8" w:rsidRDefault="009D7AF8" w:rsidP="009D7AF8">
      <w:pPr>
        <w:ind w:left="567" w:hanging="567"/>
        <w:rPr>
          <w:rFonts w:cs="Arial"/>
          <w:sz w:val="20"/>
          <w:szCs w:val="20"/>
          <w:lang w:val="en-US" w:eastAsia="en-US"/>
        </w:rPr>
      </w:pPr>
      <w:r w:rsidRPr="009D7AF8">
        <w:rPr>
          <w:rFonts w:cs="Arial"/>
          <w:sz w:val="20"/>
          <w:szCs w:val="20"/>
          <w:lang w:val="en-US" w:eastAsia="en-US"/>
        </w:rPr>
        <w:t>1.</w:t>
      </w:r>
      <w:r w:rsidRPr="009D7AF8">
        <w:rPr>
          <w:rFonts w:cs="Arial"/>
          <w:sz w:val="20"/>
          <w:szCs w:val="20"/>
          <w:lang w:val="en-US" w:eastAsia="en-US"/>
        </w:rPr>
        <w:tab/>
        <w:t>The proposed development is to provide for a 4 bedroom (4 person) HMO. Given the limited size of the lounge area and the lack of a separate dining room; it is considered that the proposed floor layout and configuration of the proposal would result in potential future occupiers being accommodated within a cramped form of development resulting in an unacceptable level of amenity and unsatisfactory living conditions contrary to policies DES7 and H1 of the City of Salford Unitary Development Plan and the National Planning Policy framework.</w:t>
      </w:r>
    </w:p>
    <w:p w:rsidR="009D7AF8" w:rsidRPr="009D7AF8" w:rsidRDefault="009D7AF8" w:rsidP="009D7AF8">
      <w:pPr>
        <w:rPr>
          <w:rFonts w:cs="Arial"/>
          <w:sz w:val="20"/>
          <w:szCs w:val="20"/>
          <w:lang w:eastAsia="en-US"/>
        </w:rPr>
      </w:pPr>
    </w:p>
    <w:p w:rsidR="009D7AF8" w:rsidRPr="009D7AF8" w:rsidRDefault="009D7AF8" w:rsidP="009D7AF8">
      <w:pPr>
        <w:rPr>
          <w:rFonts w:cs="Arial"/>
          <w:sz w:val="20"/>
          <w:szCs w:val="20"/>
          <w:lang w:val="en-US" w:eastAsia="en-US"/>
        </w:rPr>
      </w:pPr>
    </w:p>
    <w:p w:rsidR="009D7AF8" w:rsidRPr="009D7AF8" w:rsidRDefault="009D7AF8" w:rsidP="009D7AF8">
      <w:pPr>
        <w:ind w:left="540" w:hanging="540"/>
        <w:rPr>
          <w:rFonts w:cs="Arial"/>
          <w:sz w:val="20"/>
          <w:szCs w:val="20"/>
          <w:lang w:eastAsia="en-US"/>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50"/>
        <w:gridCol w:w="1635"/>
      </w:tblGrid>
      <w:tr w:rsidR="009D7AF8" w:rsidRPr="009D7AF8" w:rsidTr="00F52A62">
        <w:tc>
          <w:tcPr>
            <w:tcW w:w="958" w:type="dxa"/>
            <w:tcBorders>
              <w:top w:val="double" w:sz="4" w:space="0" w:color="auto"/>
            </w:tcBorders>
          </w:tcPr>
          <w:p w:rsidR="009D7AF8" w:rsidRPr="009D7AF8" w:rsidRDefault="009D7AF8" w:rsidP="009D7AF8">
            <w:pPr>
              <w:spacing w:before="120" w:after="120"/>
              <w:rPr>
                <w:rFonts w:cs="Arial"/>
                <w:sz w:val="20"/>
                <w:szCs w:val="20"/>
                <w:lang w:val="en-US" w:eastAsia="en-US"/>
              </w:rPr>
            </w:pPr>
            <w:r w:rsidRPr="009D7AF8">
              <w:rPr>
                <w:rFonts w:cs="Arial"/>
                <w:sz w:val="20"/>
                <w:szCs w:val="20"/>
                <w:lang w:val="en-US" w:eastAsia="en-US"/>
              </w:rPr>
              <w:t>Officer</w:t>
            </w:r>
          </w:p>
        </w:tc>
        <w:tc>
          <w:tcPr>
            <w:tcW w:w="1470" w:type="dxa"/>
            <w:tcBorders>
              <w:top w:val="double" w:sz="4" w:space="0" w:color="auto"/>
            </w:tcBorders>
          </w:tcPr>
          <w:p w:rsidR="009D7AF8" w:rsidRPr="009D7AF8" w:rsidRDefault="009D7AF8" w:rsidP="009D7AF8">
            <w:pPr>
              <w:spacing w:before="120" w:after="120"/>
              <w:rPr>
                <w:rFonts w:cs="Arial"/>
                <w:sz w:val="20"/>
                <w:szCs w:val="20"/>
                <w:lang w:val="en-US" w:eastAsia="en-US"/>
              </w:rPr>
            </w:pPr>
            <w:r w:rsidRPr="009D7AF8">
              <w:rPr>
                <w:rFonts w:cs="Arial"/>
                <w:sz w:val="20"/>
                <w:szCs w:val="20"/>
                <w:lang w:val="en-US" w:eastAsia="en-US"/>
              </w:rPr>
              <w:t>Paul Bridge</w:t>
            </w:r>
          </w:p>
        </w:tc>
        <w:tc>
          <w:tcPr>
            <w:tcW w:w="750" w:type="dxa"/>
            <w:tcBorders>
              <w:top w:val="double" w:sz="4" w:space="0" w:color="auto"/>
            </w:tcBorders>
          </w:tcPr>
          <w:p w:rsidR="009D7AF8" w:rsidRPr="009D7AF8" w:rsidRDefault="009D7AF8" w:rsidP="009D7AF8">
            <w:pPr>
              <w:spacing w:before="120" w:after="120"/>
              <w:rPr>
                <w:rFonts w:cs="Arial"/>
                <w:sz w:val="20"/>
                <w:szCs w:val="20"/>
                <w:lang w:val="en-US" w:eastAsia="en-US"/>
              </w:rPr>
            </w:pPr>
            <w:r w:rsidRPr="009D7AF8">
              <w:rPr>
                <w:rFonts w:cs="Arial"/>
                <w:sz w:val="20"/>
                <w:szCs w:val="20"/>
                <w:lang w:val="en-US" w:eastAsia="en-US"/>
              </w:rPr>
              <w:t>LPA</w:t>
            </w:r>
          </w:p>
        </w:tc>
        <w:tc>
          <w:tcPr>
            <w:tcW w:w="1635" w:type="dxa"/>
            <w:tcBorders>
              <w:top w:val="double" w:sz="4" w:space="0" w:color="auto"/>
            </w:tcBorders>
          </w:tcPr>
          <w:p w:rsidR="009D7AF8" w:rsidRPr="009D7AF8" w:rsidRDefault="00F470B4" w:rsidP="009D7AF8">
            <w:pPr>
              <w:spacing w:before="120" w:after="120"/>
              <w:rPr>
                <w:rFonts w:cs="Arial"/>
                <w:sz w:val="20"/>
                <w:szCs w:val="20"/>
                <w:lang w:val="en-US" w:eastAsia="en-US"/>
              </w:rPr>
            </w:pPr>
            <w:r>
              <w:rPr>
                <w:rFonts w:cs="Arial"/>
                <w:sz w:val="20"/>
                <w:szCs w:val="20"/>
                <w:lang w:val="en-US" w:eastAsia="en-US"/>
              </w:rPr>
              <w:t>AS</w:t>
            </w:r>
          </w:p>
        </w:tc>
      </w:tr>
      <w:tr w:rsidR="009D7AF8" w:rsidRPr="009D7AF8" w:rsidTr="00F52A62">
        <w:tc>
          <w:tcPr>
            <w:tcW w:w="958" w:type="dxa"/>
            <w:tcBorders>
              <w:bottom w:val="double" w:sz="4" w:space="0" w:color="auto"/>
            </w:tcBorders>
          </w:tcPr>
          <w:p w:rsidR="009D7AF8" w:rsidRPr="009D7AF8" w:rsidRDefault="009D7AF8" w:rsidP="009D7AF8">
            <w:pPr>
              <w:spacing w:before="120" w:after="120"/>
              <w:rPr>
                <w:rFonts w:cs="Arial"/>
                <w:sz w:val="20"/>
                <w:szCs w:val="20"/>
                <w:lang w:val="en-US" w:eastAsia="en-US"/>
              </w:rPr>
            </w:pPr>
            <w:r w:rsidRPr="009D7AF8">
              <w:rPr>
                <w:rFonts w:cs="Arial"/>
                <w:sz w:val="20"/>
                <w:szCs w:val="20"/>
                <w:lang w:val="en-US" w:eastAsia="en-US"/>
              </w:rPr>
              <w:t>Date</w:t>
            </w:r>
          </w:p>
        </w:tc>
        <w:tc>
          <w:tcPr>
            <w:tcW w:w="1470" w:type="dxa"/>
            <w:tcBorders>
              <w:bottom w:val="double" w:sz="4" w:space="0" w:color="auto"/>
            </w:tcBorders>
          </w:tcPr>
          <w:p w:rsidR="009D7AF8" w:rsidRPr="009D7AF8" w:rsidRDefault="009D7AF8" w:rsidP="009D7AF8">
            <w:pPr>
              <w:spacing w:before="120" w:after="120"/>
              <w:rPr>
                <w:rFonts w:cs="Arial"/>
                <w:sz w:val="20"/>
                <w:szCs w:val="20"/>
                <w:lang w:val="en-US" w:eastAsia="en-US"/>
              </w:rPr>
            </w:pPr>
            <w:r w:rsidRPr="009D7AF8">
              <w:rPr>
                <w:rFonts w:cs="Arial"/>
                <w:sz w:val="20"/>
                <w:szCs w:val="20"/>
                <w:lang w:val="en-US" w:eastAsia="en-US"/>
              </w:rPr>
              <w:t>02.12.2021</w:t>
            </w:r>
          </w:p>
        </w:tc>
        <w:tc>
          <w:tcPr>
            <w:tcW w:w="750" w:type="dxa"/>
            <w:tcBorders>
              <w:bottom w:val="double" w:sz="4" w:space="0" w:color="auto"/>
            </w:tcBorders>
          </w:tcPr>
          <w:p w:rsidR="009D7AF8" w:rsidRPr="009D7AF8" w:rsidRDefault="009D7AF8" w:rsidP="009D7AF8">
            <w:pPr>
              <w:spacing w:before="120" w:after="120"/>
              <w:rPr>
                <w:rFonts w:cs="Arial"/>
                <w:sz w:val="20"/>
                <w:szCs w:val="20"/>
                <w:lang w:val="en-US" w:eastAsia="en-US"/>
              </w:rPr>
            </w:pPr>
            <w:r w:rsidRPr="009D7AF8">
              <w:rPr>
                <w:rFonts w:cs="Arial"/>
                <w:sz w:val="20"/>
                <w:szCs w:val="20"/>
                <w:lang w:val="en-US" w:eastAsia="en-US"/>
              </w:rPr>
              <w:t>Date</w:t>
            </w:r>
          </w:p>
        </w:tc>
        <w:tc>
          <w:tcPr>
            <w:tcW w:w="1635" w:type="dxa"/>
            <w:tcBorders>
              <w:bottom w:val="double" w:sz="4" w:space="0" w:color="auto"/>
            </w:tcBorders>
          </w:tcPr>
          <w:p w:rsidR="009D7AF8" w:rsidRPr="009D7AF8" w:rsidRDefault="00F470B4" w:rsidP="009D7AF8">
            <w:pPr>
              <w:spacing w:before="120" w:after="120"/>
              <w:rPr>
                <w:rFonts w:cs="Arial"/>
                <w:sz w:val="20"/>
                <w:szCs w:val="20"/>
                <w:lang w:val="en-US" w:eastAsia="en-US"/>
              </w:rPr>
            </w:pPr>
            <w:r>
              <w:rPr>
                <w:rFonts w:cs="Arial"/>
                <w:sz w:val="20"/>
                <w:szCs w:val="20"/>
                <w:lang w:val="en-US" w:eastAsia="en-US"/>
              </w:rPr>
              <w:t>3.12.21</w:t>
            </w:r>
            <w:bookmarkStart w:id="0" w:name="_GoBack"/>
            <w:bookmarkEnd w:id="0"/>
          </w:p>
        </w:tc>
      </w:tr>
    </w:tbl>
    <w:p w:rsidR="009D7AF8" w:rsidRPr="009D7AF8" w:rsidRDefault="009D7AF8" w:rsidP="009D7AF8">
      <w:pPr>
        <w:rPr>
          <w:rFonts w:cs="Arial"/>
          <w:sz w:val="20"/>
          <w:szCs w:val="20"/>
          <w:lang w:val="en-US" w:eastAsia="en-US"/>
        </w:rPr>
      </w:pPr>
    </w:p>
    <w:p w:rsidR="009D7AF8" w:rsidRPr="009D7AF8" w:rsidRDefault="009D7AF8" w:rsidP="009D7AF8">
      <w:pPr>
        <w:rPr>
          <w:rFonts w:cs="Arial"/>
          <w:sz w:val="20"/>
          <w:szCs w:val="20"/>
          <w:lang w:val="en-US" w:eastAsia="en-US"/>
        </w:rPr>
      </w:pPr>
    </w:p>
    <w:p w:rsidR="00262250" w:rsidRPr="00065812" w:rsidRDefault="00262250" w:rsidP="00065812"/>
    <w:sectPr w:rsidR="00262250" w:rsidRPr="00065812" w:rsidSect="00A91D05">
      <w:headerReference w:type="default" r:id="rId7"/>
      <w:pgSz w:w="11906" w:h="16838" w:code="9"/>
      <w:pgMar w:top="295"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250" w:rsidRDefault="00262250">
      <w:r>
        <w:separator/>
      </w:r>
    </w:p>
  </w:endnote>
  <w:endnote w:type="continuationSeparator" w:id="0">
    <w:p w:rsidR="00262250" w:rsidRDefault="00262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250" w:rsidRDefault="00262250">
      <w:r>
        <w:separator/>
      </w:r>
    </w:p>
  </w:footnote>
  <w:footnote w:type="continuationSeparator" w:id="0">
    <w:p w:rsidR="00262250" w:rsidRDefault="00262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250" w:rsidRDefault="00262250" w:rsidP="0055198D">
    <w:pPr>
      <w:pStyle w:val="Header"/>
    </w:pPr>
  </w:p>
  <w:p w:rsidR="00262250" w:rsidRDefault="00262250" w:rsidP="00B33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2.1pt" o:bullet="t">
        <v:imagedata r:id="rId1" o:title=""/>
      </v:shape>
    </w:pict>
  </w:numPicBullet>
  <w:numPicBullet w:numPicBulletId="1">
    <w:pict>
      <v:shape id="_x0000_i1027" type="#_x0000_t75" style="width:6.9pt;height:17.3pt" o:bullet="t">
        <v:imagedata r:id="rId2" o:title=""/>
      </v:shape>
    </w:pict>
  </w:numPicBullet>
  <w:numPicBullet w:numPicBulletId="2">
    <w:pict>
      <v:shape id="_x0000_i1028" type="#_x0000_t75" style="width:23.6pt;height:12.1pt" o:bullet="t">
        <v:imagedata r:id="rId3" o:title=""/>
      </v:shape>
    </w:pict>
  </w:numPicBullet>
  <w:numPicBullet w:numPicBulletId="3">
    <w:pict>
      <v:shape id="_x0000_i1029" type="#_x0000_t75" style="width:18.45pt;height:16.15pt" o:bullet="t">
        <v:imagedata r:id="rId4" o:title=""/>
      </v:shape>
    </w:pict>
  </w:numPicBullet>
  <w:numPicBullet w:numPicBulletId="4">
    <w:pict>
      <v:shape id="_x0000_i1030" type="#_x0000_t75" style="width:18.45pt;height:16.15pt" o:bullet="t">
        <v:imagedata r:id="rId5" o:title=""/>
      </v:shape>
    </w:pict>
  </w:numPicBullet>
  <w:abstractNum w:abstractNumId="0" w15:restartNumberingAfterBreak="0">
    <w:nsid w:val="0ADC46CA"/>
    <w:multiLevelType w:val="hybridMultilevel"/>
    <w:tmpl w:val="D012D46A"/>
    <w:lvl w:ilvl="0" w:tplc="69520E02">
      <w:start w:val="1"/>
      <w:numFmt w:val="bullet"/>
      <w:lvlText w:val=""/>
      <w:lvlPicBulletId w:val="2"/>
      <w:lvlJc w:val="left"/>
      <w:pPr>
        <w:tabs>
          <w:tab w:val="num" w:pos="720"/>
        </w:tabs>
        <w:ind w:left="720" w:hanging="360"/>
      </w:pPr>
      <w:rPr>
        <w:rFonts w:ascii="Symbol" w:hAnsi="Symbol" w:hint="default"/>
      </w:rPr>
    </w:lvl>
    <w:lvl w:ilvl="1" w:tplc="9E989A42" w:tentative="1">
      <w:start w:val="1"/>
      <w:numFmt w:val="bullet"/>
      <w:lvlText w:val=""/>
      <w:lvlJc w:val="left"/>
      <w:pPr>
        <w:tabs>
          <w:tab w:val="num" w:pos="1440"/>
        </w:tabs>
        <w:ind w:left="1440" w:hanging="360"/>
      </w:pPr>
      <w:rPr>
        <w:rFonts w:ascii="Symbol" w:hAnsi="Symbol" w:hint="default"/>
      </w:rPr>
    </w:lvl>
    <w:lvl w:ilvl="2" w:tplc="431E2CA6" w:tentative="1">
      <w:start w:val="1"/>
      <w:numFmt w:val="bullet"/>
      <w:lvlText w:val=""/>
      <w:lvlJc w:val="left"/>
      <w:pPr>
        <w:tabs>
          <w:tab w:val="num" w:pos="2160"/>
        </w:tabs>
        <w:ind w:left="2160" w:hanging="360"/>
      </w:pPr>
      <w:rPr>
        <w:rFonts w:ascii="Symbol" w:hAnsi="Symbol" w:hint="default"/>
      </w:rPr>
    </w:lvl>
    <w:lvl w:ilvl="3" w:tplc="680C0424" w:tentative="1">
      <w:start w:val="1"/>
      <w:numFmt w:val="bullet"/>
      <w:lvlText w:val=""/>
      <w:lvlJc w:val="left"/>
      <w:pPr>
        <w:tabs>
          <w:tab w:val="num" w:pos="2880"/>
        </w:tabs>
        <w:ind w:left="2880" w:hanging="360"/>
      </w:pPr>
      <w:rPr>
        <w:rFonts w:ascii="Symbol" w:hAnsi="Symbol" w:hint="default"/>
      </w:rPr>
    </w:lvl>
    <w:lvl w:ilvl="4" w:tplc="3BA69F6A" w:tentative="1">
      <w:start w:val="1"/>
      <w:numFmt w:val="bullet"/>
      <w:lvlText w:val=""/>
      <w:lvlJc w:val="left"/>
      <w:pPr>
        <w:tabs>
          <w:tab w:val="num" w:pos="3600"/>
        </w:tabs>
        <w:ind w:left="3600" w:hanging="360"/>
      </w:pPr>
      <w:rPr>
        <w:rFonts w:ascii="Symbol" w:hAnsi="Symbol" w:hint="default"/>
      </w:rPr>
    </w:lvl>
    <w:lvl w:ilvl="5" w:tplc="2B327F4C" w:tentative="1">
      <w:start w:val="1"/>
      <w:numFmt w:val="bullet"/>
      <w:lvlText w:val=""/>
      <w:lvlJc w:val="left"/>
      <w:pPr>
        <w:tabs>
          <w:tab w:val="num" w:pos="4320"/>
        </w:tabs>
        <w:ind w:left="4320" w:hanging="360"/>
      </w:pPr>
      <w:rPr>
        <w:rFonts w:ascii="Symbol" w:hAnsi="Symbol" w:hint="default"/>
      </w:rPr>
    </w:lvl>
    <w:lvl w:ilvl="6" w:tplc="EF309232" w:tentative="1">
      <w:start w:val="1"/>
      <w:numFmt w:val="bullet"/>
      <w:lvlText w:val=""/>
      <w:lvlJc w:val="left"/>
      <w:pPr>
        <w:tabs>
          <w:tab w:val="num" w:pos="5040"/>
        </w:tabs>
        <w:ind w:left="5040" w:hanging="360"/>
      </w:pPr>
      <w:rPr>
        <w:rFonts w:ascii="Symbol" w:hAnsi="Symbol" w:hint="default"/>
      </w:rPr>
    </w:lvl>
    <w:lvl w:ilvl="7" w:tplc="303497F4" w:tentative="1">
      <w:start w:val="1"/>
      <w:numFmt w:val="bullet"/>
      <w:lvlText w:val=""/>
      <w:lvlJc w:val="left"/>
      <w:pPr>
        <w:tabs>
          <w:tab w:val="num" w:pos="5760"/>
        </w:tabs>
        <w:ind w:left="5760" w:hanging="360"/>
      </w:pPr>
      <w:rPr>
        <w:rFonts w:ascii="Symbol" w:hAnsi="Symbol" w:hint="default"/>
      </w:rPr>
    </w:lvl>
    <w:lvl w:ilvl="8" w:tplc="E0B2A53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B276EB"/>
    <w:multiLevelType w:val="multilevel"/>
    <w:tmpl w:val="943EB2A2"/>
    <w:lvl w:ilvl="0">
      <w:start w:val="1"/>
      <w:numFmt w:val="bullet"/>
      <w:lvlText w:val=""/>
      <w:lvlPicBulletId w:val="1"/>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02D5CB3"/>
    <w:multiLevelType w:val="multilevel"/>
    <w:tmpl w:val="943EB2A2"/>
    <w:lvl w:ilvl="0">
      <w:start w:val="1"/>
      <w:numFmt w:val="bullet"/>
      <w:lvlText w:val=""/>
      <w:lvlPicBulletId w:val="1"/>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6AD06D90"/>
    <w:multiLevelType w:val="hybridMultilevel"/>
    <w:tmpl w:val="F342BDAA"/>
    <w:lvl w:ilvl="0" w:tplc="947E4F08">
      <w:start w:val="1"/>
      <w:numFmt w:val="bullet"/>
      <w:lvlText w:val=""/>
      <w:lvlPicBulletId w:val="0"/>
      <w:lvlJc w:val="left"/>
      <w:pPr>
        <w:tabs>
          <w:tab w:val="num" w:pos="720"/>
        </w:tabs>
        <w:ind w:left="720" w:hanging="360"/>
      </w:pPr>
      <w:rPr>
        <w:rFonts w:ascii="Symbol" w:hAnsi="Symbol" w:hint="default"/>
      </w:rPr>
    </w:lvl>
    <w:lvl w:ilvl="1" w:tplc="68BA1E32" w:tentative="1">
      <w:start w:val="1"/>
      <w:numFmt w:val="bullet"/>
      <w:lvlText w:val=""/>
      <w:lvlJc w:val="left"/>
      <w:pPr>
        <w:tabs>
          <w:tab w:val="num" w:pos="1440"/>
        </w:tabs>
        <w:ind w:left="1440" w:hanging="360"/>
      </w:pPr>
      <w:rPr>
        <w:rFonts w:ascii="Symbol" w:hAnsi="Symbol" w:hint="default"/>
      </w:rPr>
    </w:lvl>
    <w:lvl w:ilvl="2" w:tplc="A4CCBC88" w:tentative="1">
      <w:start w:val="1"/>
      <w:numFmt w:val="bullet"/>
      <w:lvlText w:val=""/>
      <w:lvlJc w:val="left"/>
      <w:pPr>
        <w:tabs>
          <w:tab w:val="num" w:pos="2160"/>
        </w:tabs>
        <w:ind w:left="2160" w:hanging="360"/>
      </w:pPr>
      <w:rPr>
        <w:rFonts w:ascii="Symbol" w:hAnsi="Symbol" w:hint="default"/>
      </w:rPr>
    </w:lvl>
    <w:lvl w:ilvl="3" w:tplc="21369B8A" w:tentative="1">
      <w:start w:val="1"/>
      <w:numFmt w:val="bullet"/>
      <w:lvlText w:val=""/>
      <w:lvlJc w:val="left"/>
      <w:pPr>
        <w:tabs>
          <w:tab w:val="num" w:pos="2880"/>
        </w:tabs>
        <w:ind w:left="2880" w:hanging="360"/>
      </w:pPr>
      <w:rPr>
        <w:rFonts w:ascii="Symbol" w:hAnsi="Symbol" w:hint="default"/>
      </w:rPr>
    </w:lvl>
    <w:lvl w:ilvl="4" w:tplc="63DAFC8C" w:tentative="1">
      <w:start w:val="1"/>
      <w:numFmt w:val="bullet"/>
      <w:lvlText w:val=""/>
      <w:lvlJc w:val="left"/>
      <w:pPr>
        <w:tabs>
          <w:tab w:val="num" w:pos="3600"/>
        </w:tabs>
        <w:ind w:left="3600" w:hanging="360"/>
      </w:pPr>
      <w:rPr>
        <w:rFonts w:ascii="Symbol" w:hAnsi="Symbol" w:hint="default"/>
      </w:rPr>
    </w:lvl>
    <w:lvl w:ilvl="5" w:tplc="2A8CA528" w:tentative="1">
      <w:start w:val="1"/>
      <w:numFmt w:val="bullet"/>
      <w:lvlText w:val=""/>
      <w:lvlJc w:val="left"/>
      <w:pPr>
        <w:tabs>
          <w:tab w:val="num" w:pos="4320"/>
        </w:tabs>
        <w:ind w:left="4320" w:hanging="360"/>
      </w:pPr>
      <w:rPr>
        <w:rFonts w:ascii="Symbol" w:hAnsi="Symbol" w:hint="default"/>
      </w:rPr>
    </w:lvl>
    <w:lvl w:ilvl="6" w:tplc="8182C9DE" w:tentative="1">
      <w:start w:val="1"/>
      <w:numFmt w:val="bullet"/>
      <w:lvlText w:val=""/>
      <w:lvlJc w:val="left"/>
      <w:pPr>
        <w:tabs>
          <w:tab w:val="num" w:pos="5040"/>
        </w:tabs>
        <w:ind w:left="5040" w:hanging="360"/>
      </w:pPr>
      <w:rPr>
        <w:rFonts w:ascii="Symbol" w:hAnsi="Symbol" w:hint="default"/>
      </w:rPr>
    </w:lvl>
    <w:lvl w:ilvl="7" w:tplc="C8202A2E" w:tentative="1">
      <w:start w:val="1"/>
      <w:numFmt w:val="bullet"/>
      <w:lvlText w:val=""/>
      <w:lvlJc w:val="left"/>
      <w:pPr>
        <w:tabs>
          <w:tab w:val="num" w:pos="5760"/>
        </w:tabs>
        <w:ind w:left="5760" w:hanging="360"/>
      </w:pPr>
      <w:rPr>
        <w:rFonts w:ascii="Symbol" w:hAnsi="Symbol" w:hint="default"/>
      </w:rPr>
    </w:lvl>
    <w:lvl w:ilvl="8" w:tplc="6E46DBC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59B0B8A"/>
    <w:multiLevelType w:val="multilevel"/>
    <w:tmpl w:val="943EB2A2"/>
    <w:lvl w:ilvl="0">
      <w:start w:val="1"/>
      <w:numFmt w:val="bullet"/>
      <w:lvlText w:val=""/>
      <w:lvlPicBulletId w:val="1"/>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15:restartNumberingAfterBreak="0">
    <w:nsid w:val="7BE8447A"/>
    <w:multiLevelType w:val="hybridMultilevel"/>
    <w:tmpl w:val="943EB2A2"/>
    <w:lvl w:ilvl="0" w:tplc="74345F4C">
      <w:start w:val="1"/>
      <w:numFmt w:val="bullet"/>
      <w:lvlText w:val=""/>
      <w:lvlPicBulletId w:val="1"/>
      <w:lvlJc w:val="left"/>
      <w:pPr>
        <w:tabs>
          <w:tab w:val="num" w:pos="720"/>
        </w:tabs>
        <w:ind w:left="720" w:hanging="360"/>
      </w:pPr>
      <w:rPr>
        <w:rFonts w:ascii="Symbol" w:hAnsi="Symbol" w:hint="default"/>
      </w:rPr>
    </w:lvl>
    <w:lvl w:ilvl="1" w:tplc="3C20281A" w:tentative="1">
      <w:start w:val="1"/>
      <w:numFmt w:val="bullet"/>
      <w:lvlText w:val=""/>
      <w:lvlJc w:val="left"/>
      <w:pPr>
        <w:tabs>
          <w:tab w:val="num" w:pos="1440"/>
        </w:tabs>
        <w:ind w:left="1440" w:hanging="360"/>
      </w:pPr>
      <w:rPr>
        <w:rFonts w:ascii="Symbol" w:hAnsi="Symbol" w:hint="default"/>
      </w:rPr>
    </w:lvl>
    <w:lvl w:ilvl="2" w:tplc="E4F4E3D2" w:tentative="1">
      <w:start w:val="1"/>
      <w:numFmt w:val="bullet"/>
      <w:lvlText w:val=""/>
      <w:lvlJc w:val="left"/>
      <w:pPr>
        <w:tabs>
          <w:tab w:val="num" w:pos="2160"/>
        </w:tabs>
        <w:ind w:left="2160" w:hanging="360"/>
      </w:pPr>
      <w:rPr>
        <w:rFonts w:ascii="Symbol" w:hAnsi="Symbol" w:hint="default"/>
      </w:rPr>
    </w:lvl>
    <w:lvl w:ilvl="3" w:tplc="80608A94" w:tentative="1">
      <w:start w:val="1"/>
      <w:numFmt w:val="bullet"/>
      <w:lvlText w:val=""/>
      <w:lvlJc w:val="left"/>
      <w:pPr>
        <w:tabs>
          <w:tab w:val="num" w:pos="2880"/>
        </w:tabs>
        <w:ind w:left="2880" w:hanging="360"/>
      </w:pPr>
      <w:rPr>
        <w:rFonts w:ascii="Symbol" w:hAnsi="Symbol" w:hint="default"/>
      </w:rPr>
    </w:lvl>
    <w:lvl w:ilvl="4" w:tplc="DB7CCC5E" w:tentative="1">
      <w:start w:val="1"/>
      <w:numFmt w:val="bullet"/>
      <w:lvlText w:val=""/>
      <w:lvlJc w:val="left"/>
      <w:pPr>
        <w:tabs>
          <w:tab w:val="num" w:pos="3600"/>
        </w:tabs>
        <w:ind w:left="3600" w:hanging="360"/>
      </w:pPr>
      <w:rPr>
        <w:rFonts w:ascii="Symbol" w:hAnsi="Symbol" w:hint="default"/>
      </w:rPr>
    </w:lvl>
    <w:lvl w:ilvl="5" w:tplc="B3DED6F0" w:tentative="1">
      <w:start w:val="1"/>
      <w:numFmt w:val="bullet"/>
      <w:lvlText w:val=""/>
      <w:lvlJc w:val="left"/>
      <w:pPr>
        <w:tabs>
          <w:tab w:val="num" w:pos="4320"/>
        </w:tabs>
        <w:ind w:left="4320" w:hanging="360"/>
      </w:pPr>
      <w:rPr>
        <w:rFonts w:ascii="Symbol" w:hAnsi="Symbol" w:hint="default"/>
      </w:rPr>
    </w:lvl>
    <w:lvl w:ilvl="6" w:tplc="6142AA04" w:tentative="1">
      <w:start w:val="1"/>
      <w:numFmt w:val="bullet"/>
      <w:lvlText w:val=""/>
      <w:lvlJc w:val="left"/>
      <w:pPr>
        <w:tabs>
          <w:tab w:val="num" w:pos="5040"/>
        </w:tabs>
        <w:ind w:left="5040" w:hanging="360"/>
      </w:pPr>
      <w:rPr>
        <w:rFonts w:ascii="Symbol" w:hAnsi="Symbol" w:hint="default"/>
      </w:rPr>
    </w:lvl>
    <w:lvl w:ilvl="7" w:tplc="C8A4CE4C" w:tentative="1">
      <w:start w:val="1"/>
      <w:numFmt w:val="bullet"/>
      <w:lvlText w:val=""/>
      <w:lvlJc w:val="left"/>
      <w:pPr>
        <w:tabs>
          <w:tab w:val="num" w:pos="5760"/>
        </w:tabs>
        <w:ind w:left="5760" w:hanging="360"/>
      </w:pPr>
      <w:rPr>
        <w:rFonts w:ascii="Symbol" w:hAnsi="Symbol" w:hint="default"/>
      </w:rPr>
    </w:lvl>
    <w:lvl w:ilvl="8" w:tplc="C8CCF16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7FFB15BC"/>
    <w:multiLevelType w:val="hybridMultilevel"/>
    <w:tmpl w:val="1BCE27A4"/>
    <w:lvl w:ilvl="0" w:tplc="112284D6">
      <w:start w:val="1"/>
      <w:numFmt w:val="bullet"/>
      <w:lvlText w:val=""/>
      <w:lvlPicBulletId w:val="0"/>
      <w:lvlJc w:val="left"/>
      <w:pPr>
        <w:tabs>
          <w:tab w:val="num" w:pos="720"/>
        </w:tabs>
        <w:ind w:left="720" w:hanging="360"/>
      </w:pPr>
      <w:rPr>
        <w:rFonts w:ascii="Symbol" w:hAnsi="Symbol" w:hint="default"/>
      </w:rPr>
    </w:lvl>
    <w:lvl w:ilvl="1" w:tplc="8E723E48" w:tentative="1">
      <w:start w:val="1"/>
      <w:numFmt w:val="bullet"/>
      <w:lvlText w:val=""/>
      <w:lvlJc w:val="left"/>
      <w:pPr>
        <w:tabs>
          <w:tab w:val="num" w:pos="1440"/>
        </w:tabs>
        <w:ind w:left="1440" w:hanging="360"/>
      </w:pPr>
      <w:rPr>
        <w:rFonts w:ascii="Symbol" w:hAnsi="Symbol" w:hint="default"/>
      </w:rPr>
    </w:lvl>
    <w:lvl w:ilvl="2" w:tplc="D8EA2B48" w:tentative="1">
      <w:start w:val="1"/>
      <w:numFmt w:val="bullet"/>
      <w:lvlText w:val=""/>
      <w:lvlJc w:val="left"/>
      <w:pPr>
        <w:tabs>
          <w:tab w:val="num" w:pos="2160"/>
        </w:tabs>
        <w:ind w:left="2160" w:hanging="360"/>
      </w:pPr>
      <w:rPr>
        <w:rFonts w:ascii="Symbol" w:hAnsi="Symbol" w:hint="default"/>
      </w:rPr>
    </w:lvl>
    <w:lvl w:ilvl="3" w:tplc="BDDC5700" w:tentative="1">
      <w:start w:val="1"/>
      <w:numFmt w:val="bullet"/>
      <w:lvlText w:val=""/>
      <w:lvlJc w:val="left"/>
      <w:pPr>
        <w:tabs>
          <w:tab w:val="num" w:pos="2880"/>
        </w:tabs>
        <w:ind w:left="2880" w:hanging="360"/>
      </w:pPr>
      <w:rPr>
        <w:rFonts w:ascii="Symbol" w:hAnsi="Symbol" w:hint="default"/>
      </w:rPr>
    </w:lvl>
    <w:lvl w:ilvl="4" w:tplc="1E9A7A16" w:tentative="1">
      <w:start w:val="1"/>
      <w:numFmt w:val="bullet"/>
      <w:lvlText w:val=""/>
      <w:lvlJc w:val="left"/>
      <w:pPr>
        <w:tabs>
          <w:tab w:val="num" w:pos="3600"/>
        </w:tabs>
        <w:ind w:left="3600" w:hanging="360"/>
      </w:pPr>
      <w:rPr>
        <w:rFonts w:ascii="Symbol" w:hAnsi="Symbol" w:hint="default"/>
      </w:rPr>
    </w:lvl>
    <w:lvl w:ilvl="5" w:tplc="134A4BA8" w:tentative="1">
      <w:start w:val="1"/>
      <w:numFmt w:val="bullet"/>
      <w:lvlText w:val=""/>
      <w:lvlJc w:val="left"/>
      <w:pPr>
        <w:tabs>
          <w:tab w:val="num" w:pos="4320"/>
        </w:tabs>
        <w:ind w:left="4320" w:hanging="360"/>
      </w:pPr>
      <w:rPr>
        <w:rFonts w:ascii="Symbol" w:hAnsi="Symbol" w:hint="default"/>
      </w:rPr>
    </w:lvl>
    <w:lvl w:ilvl="6" w:tplc="EF2AB36A" w:tentative="1">
      <w:start w:val="1"/>
      <w:numFmt w:val="bullet"/>
      <w:lvlText w:val=""/>
      <w:lvlJc w:val="left"/>
      <w:pPr>
        <w:tabs>
          <w:tab w:val="num" w:pos="5040"/>
        </w:tabs>
        <w:ind w:left="5040" w:hanging="360"/>
      </w:pPr>
      <w:rPr>
        <w:rFonts w:ascii="Symbol" w:hAnsi="Symbol" w:hint="default"/>
      </w:rPr>
    </w:lvl>
    <w:lvl w:ilvl="7" w:tplc="8BD4BCBA" w:tentative="1">
      <w:start w:val="1"/>
      <w:numFmt w:val="bullet"/>
      <w:lvlText w:val=""/>
      <w:lvlJc w:val="left"/>
      <w:pPr>
        <w:tabs>
          <w:tab w:val="num" w:pos="5760"/>
        </w:tabs>
        <w:ind w:left="5760" w:hanging="360"/>
      </w:pPr>
      <w:rPr>
        <w:rFonts w:ascii="Symbol" w:hAnsi="Symbol" w:hint="default"/>
      </w:rPr>
    </w:lvl>
    <w:lvl w:ilvl="8" w:tplc="DE8084DC" w:tentative="1">
      <w:start w:val="1"/>
      <w:numFmt w:val="bullet"/>
      <w:lvlText w:val=""/>
      <w:lvlJc w:val="left"/>
      <w:pPr>
        <w:tabs>
          <w:tab w:val="num" w:pos="6480"/>
        </w:tabs>
        <w:ind w:left="6480" w:hanging="360"/>
      </w:pPr>
      <w:rPr>
        <w:rFonts w:ascii="Symbol" w:hAnsi="Symbol" w:hint="default"/>
      </w:rPr>
    </w:lvl>
  </w:abstractNum>
  <w:num w:numId="1">
    <w:abstractNumId w:val="7"/>
  </w:num>
  <w:num w:numId="2">
    <w:abstractNumId w:val="4"/>
  </w:num>
  <w:num w:numId="3">
    <w:abstractNumId w:val="6"/>
  </w:num>
  <w:num w:numId="4">
    <w:abstractNumId w:val="2"/>
  </w:num>
  <w:num w:numId="5">
    <w:abstractNumId w:val="5"/>
  </w:num>
  <w:num w:numId="6">
    <w:abstractNumId w:val="1"/>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B2F0A"/>
    <w:rsid w:val="00043FBE"/>
    <w:rsid w:val="00065812"/>
    <w:rsid w:val="000B52D7"/>
    <w:rsid w:val="000C049F"/>
    <w:rsid w:val="000F5C0D"/>
    <w:rsid w:val="001126D8"/>
    <w:rsid w:val="001607B5"/>
    <w:rsid w:val="001A5F80"/>
    <w:rsid w:val="00203547"/>
    <w:rsid w:val="00255C79"/>
    <w:rsid w:val="00262250"/>
    <w:rsid w:val="002808DC"/>
    <w:rsid w:val="00297A10"/>
    <w:rsid w:val="00310DAB"/>
    <w:rsid w:val="00372E94"/>
    <w:rsid w:val="003D01A6"/>
    <w:rsid w:val="003D2B38"/>
    <w:rsid w:val="00485E72"/>
    <w:rsid w:val="004B2F0A"/>
    <w:rsid w:val="004D5288"/>
    <w:rsid w:val="0050346F"/>
    <w:rsid w:val="00526555"/>
    <w:rsid w:val="0055198D"/>
    <w:rsid w:val="00564B69"/>
    <w:rsid w:val="00620A17"/>
    <w:rsid w:val="00673DE9"/>
    <w:rsid w:val="006C7A9B"/>
    <w:rsid w:val="007017A0"/>
    <w:rsid w:val="007245CB"/>
    <w:rsid w:val="00751F91"/>
    <w:rsid w:val="00776001"/>
    <w:rsid w:val="007A1D7A"/>
    <w:rsid w:val="007C319E"/>
    <w:rsid w:val="007D596F"/>
    <w:rsid w:val="00811BAB"/>
    <w:rsid w:val="00811CBB"/>
    <w:rsid w:val="00820E80"/>
    <w:rsid w:val="008631A6"/>
    <w:rsid w:val="00887C3D"/>
    <w:rsid w:val="008F7291"/>
    <w:rsid w:val="00936A12"/>
    <w:rsid w:val="00944E4A"/>
    <w:rsid w:val="00964AB6"/>
    <w:rsid w:val="00984948"/>
    <w:rsid w:val="00984949"/>
    <w:rsid w:val="009B432B"/>
    <w:rsid w:val="009D7AF8"/>
    <w:rsid w:val="00A3260A"/>
    <w:rsid w:val="00A56C95"/>
    <w:rsid w:val="00A63241"/>
    <w:rsid w:val="00A91D05"/>
    <w:rsid w:val="00A95F07"/>
    <w:rsid w:val="00AC3830"/>
    <w:rsid w:val="00AD2CD7"/>
    <w:rsid w:val="00B33DFE"/>
    <w:rsid w:val="00B408B3"/>
    <w:rsid w:val="00B56EFD"/>
    <w:rsid w:val="00B62443"/>
    <w:rsid w:val="00B74960"/>
    <w:rsid w:val="00B85E1F"/>
    <w:rsid w:val="00B87565"/>
    <w:rsid w:val="00BD2ADC"/>
    <w:rsid w:val="00C40832"/>
    <w:rsid w:val="00CB6FB7"/>
    <w:rsid w:val="00CE627E"/>
    <w:rsid w:val="00D652AD"/>
    <w:rsid w:val="00D8541C"/>
    <w:rsid w:val="00E170CC"/>
    <w:rsid w:val="00E2157A"/>
    <w:rsid w:val="00E66481"/>
    <w:rsid w:val="00E7262F"/>
    <w:rsid w:val="00EA47F5"/>
    <w:rsid w:val="00ED4891"/>
    <w:rsid w:val="00EE1451"/>
    <w:rsid w:val="00EE24BB"/>
    <w:rsid w:val="00F46A54"/>
    <w:rsid w:val="00F470B4"/>
    <w:rsid w:val="00F52615"/>
    <w:rsid w:val="00FA2339"/>
    <w:rsid w:val="00FA2DFD"/>
    <w:rsid w:val="00FC292D"/>
    <w:rsid w:val="00FD17D0"/>
    <w:rsid w:val="00FF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05E5365A"/>
  <w15:docId w15:val="{6E3363CB-910C-4DB4-91EE-B9F6847F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FD"/>
    <w:rPr>
      <w:rFonts w:ascii="Arial" w:hAnsi="Arial"/>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D596F"/>
    <w:rPr>
      <w:rFonts w:cs="Times New Roman"/>
      <w:color w:val="0000FF"/>
      <w:u w:val="single"/>
    </w:rPr>
  </w:style>
  <w:style w:type="paragraph" w:styleId="Header">
    <w:name w:val="header"/>
    <w:basedOn w:val="Normal"/>
    <w:link w:val="HeaderChar"/>
    <w:uiPriority w:val="99"/>
    <w:rsid w:val="00984948"/>
    <w:pPr>
      <w:tabs>
        <w:tab w:val="center" w:pos="4153"/>
        <w:tab w:val="right" w:pos="8306"/>
      </w:tabs>
    </w:pPr>
  </w:style>
  <w:style w:type="character" w:customStyle="1" w:styleId="HeaderChar">
    <w:name w:val="Header Char"/>
    <w:basedOn w:val="DefaultParagraphFont"/>
    <w:link w:val="Header"/>
    <w:uiPriority w:val="99"/>
    <w:semiHidden/>
    <w:rsid w:val="00F470F0"/>
    <w:rPr>
      <w:rFonts w:ascii="Arial" w:hAnsi="Arial"/>
      <w:sz w:val="24"/>
      <w:szCs w:val="24"/>
      <w:lang w:val="en-GB" w:eastAsia="en-GB"/>
    </w:rPr>
  </w:style>
  <w:style w:type="paragraph" w:styleId="Footer">
    <w:name w:val="footer"/>
    <w:basedOn w:val="Normal"/>
    <w:link w:val="FooterChar"/>
    <w:uiPriority w:val="99"/>
    <w:rsid w:val="00984948"/>
    <w:pPr>
      <w:tabs>
        <w:tab w:val="center" w:pos="4153"/>
        <w:tab w:val="right" w:pos="8306"/>
      </w:tabs>
    </w:pPr>
  </w:style>
  <w:style w:type="character" w:customStyle="1" w:styleId="FooterChar">
    <w:name w:val="Footer Char"/>
    <w:basedOn w:val="DefaultParagraphFont"/>
    <w:link w:val="Footer"/>
    <w:uiPriority w:val="99"/>
    <w:semiHidden/>
    <w:rsid w:val="00F470F0"/>
    <w:rPr>
      <w:rFonts w:ascii="Arial" w:hAnsi="Arial"/>
      <w:sz w:val="24"/>
      <w:szCs w:val="24"/>
      <w:lang w:val="en-GB" w:eastAsia="en-GB"/>
    </w:rPr>
  </w:style>
  <w:style w:type="paragraph" w:styleId="BalloonText">
    <w:name w:val="Balloon Text"/>
    <w:basedOn w:val="Normal"/>
    <w:link w:val="BalloonTextChar"/>
    <w:uiPriority w:val="99"/>
    <w:semiHidden/>
    <w:rsid w:val="00820E80"/>
    <w:rPr>
      <w:rFonts w:ascii="Tahoma" w:hAnsi="Tahoma" w:cs="Tahoma"/>
      <w:sz w:val="16"/>
      <w:szCs w:val="16"/>
    </w:rPr>
  </w:style>
  <w:style w:type="character" w:customStyle="1" w:styleId="BalloonTextChar">
    <w:name w:val="Balloon Text Char"/>
    <w:basedOn w:val="DefaultParagraphFont"/>
    <w:link w:val="BalloonText"/>
    <w:uiPriority w:val="99"/>
    <w:semiHidden/>
    <w:rsid w:val="00F470F0"/>
    <w:rPr>
      <w:sz w:val="0"/>
      <w:szCs w:val="0"/>
      <w:lang w:val="en-GB" w:eastAsia="en-GB"/>
    </w:rPr>
  </w:style>
  <w:style w:type="paragraph" w:styleId="NormalWeb">
    <w:name w:val="Normal (Web)"/>
    <w:basedOn w:val="Normal"/>
    <w:uiPriority w:val="99"/>
    <w:rsid w:val="00BD2ADC"/>
    <w:pPr>
      <w:spacing w:before="100" w:beforeAutospacing="1" w:after="100" w:afterAutospacing="1"/>
    </w:pPr>
    <w:rPr>
      <w:rFonts w:ascii="Times New Roman" w:hAnsi="Times New Roman"/>
    </w:rPr>
  </w:style>
  <w:style w:type="character" w:styleId="FollowedHyperlink">
    <w:name w:val="FollowedHyperlink"/>
    <w:basedOn w:val="DefaultParagraphFont"/>
    <w:uiPriority w:val="99"/>
    <w:rsid w:val="00984949"/>
    <w:rPr>
      <w:rFonts w:cs="Times New Roman"/>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101179">
      <w:marLeft w:val="0"/>
      <w:marRight w:val="0"/>
      <w:marTop w:val="0"/>
      <w:marBottom w:val="0"/>
      <w:divBdr>
        <w:top w:val="none" w:sz="0" w:space="0" w:color="auto"/>
        <w:left w:val="none" w:sz="0" w:space="0" w:color="auto"/>
        <w:bottom w:val="none" w:sz="0" w:space="0" w:color="auto"/>
        <w:right w:val="none" w:sz="0" w:space="0" w:color="auto"/>
      </w:divBdr>
      <w:divsChild>
        <w:div w:id="757101183">
          <w:marLeft w:val="0"/>
          <w:marRight w:val="0"/>
          <w:marTop w:val="0"/>
          <w:marBottom w:val="0"/>
          <w:divBdr>
            <w:top w:val="none" w:sz="0" w:space="0" w:color="auto"/>
            <w:left w:val="none" w:sz="0" w:space="0" w:color="auto"/>
            <w:bottom w:val="none" w:sz="0" w:space="0" w:color="auto"/>
            <w:right w:val="none" w:sz="0" w:space="0" w:color="auto"/>
          </w:divBdr>
          <w:divsChild>
            <w:div w:id="757101181">
              <w:marLeft w:val="0"/>
              <w:marRight w:val="0"/>
              <w:marTop w:val="0"/>
              <w:marBottom w:val="0"/>
              <w:divBdr>
                <w:top w:val="none" w:sz="0" w:space="0" w:color="auto"/>
                <w:left w:val="none" w:sz="0" w:space="0" w:color="auto"/>
                <w:bottom w:val="none" w:sz="0" w:space="0" w:color="auto"/>
                <w:right w:val="none" w:sz="0" w:space="0" w:color="auto"/>
              </w:divBdr>
              <w:divsChild>
                <w:div w:id="757101184">
                  <w:marLeft w:val="0"/>
                  <w:marRight w:val="0"/>
                  <w:marTop w:val="0"/>
                  <w:marBottom w:val="0"/>
                  <w:divBdr>
                    <w:top w:val="none" w:sz="0" w:space="0" w:color="auto"/>
                    <w:left w:val="none" w:sz="0" w:space="0" w:color="auto"/>
                    <w:bottom w:val="none" w:sz="0" w:space="0" w:color="auto"/>
                    <w:right w:val="none" w:sz="0" w:space="0" w:color="auto"/>
                  </w:divBdr>
                  <w:divsChild>
                    <w:div w:id="75710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101187">
      <w:marLeft w:val="0"/>
      <w:marRight w:val="0"/>
      <w:marTop w:val="0"/>
      <w:marBottom w:val="0"/>
      <w:divBdr>
        <w:top w:val="none" w:sz="0" w:space="0" w:color="auto"/>
        <w:left w:val="none" w:sz="0" w:space="0" w:color="auto"/>
        <w:bottom w:val="none" w:sz="0" w:space="0" w:color="auto"/>
        <w:right w:val="none" w:sz="0" w:space="0" w:color="auto"/>
      </w:divBdr>
      <w:divsChild>
        <w:div w:id="757101171">
          <w:marLeft w:val="0"/>
          <w:marRight w:val="0"/>
          <w:marTop w:val="0"/>
          <w:marBottom w:val="0"/>
          <w:divBdr>
            <w:top w:val="none" w:sz="0" w:space="0" w:color="auto"/>
            <w:left w:val="none" w:sz="0" w:space="0" w:color="auto"/>
            <w:bottom w:val="none" w:sz="0" w:space="0" w:color="auto"/>
            <w:right w:val="none" w:sz="0" w:space="0" w:color="auto"/>
          </w:divBdr>
          <w:divsChild>
            <w:div w:id="757101178">
              <w:marLeft w:val="0"/>
              <w:marRight w:val="0"/>
              <w:marTop w:val="0"/>
              <w:marBottom w:val="0"/>
              <w:divBdr>
                <w:top w:val="none" w:sz="0" w:space="0" w:color="auto"/>
                <w:left w:val="none" w:sz="0" w:space="0" w:color="auto"/>
                <w:bottom w:val="none" w:sz="0" w:space="0" w:color="auto"/>
                <w:right w:val="none" w:sz="0" w:space="0" w:color="auto"/>
              </w:divBdr>
              <w:divsChild>
                <w:div w:id="757101175">
                  <w:marLeft w:val="0"/>
                  <w:marRight w:val="0"/>
                  <w:marTop w:val="0"/>
                  <w:marBottom w:val="0"/>
                  <w:divBdr>
                    <w:top w:val="none" w:sz="0" w:space="0" w:color="auto"/>
                    <w:left w:val="none" w:sz="0" w:space="0" w:color="auto"/>
                    <w:bottom w:val="none" w:sz="0" w:space="0" w:color="auto"/>
                    <w:right w:val="none" w:sz="0" w:space="0" w:color="auto"/>
                  </w:divBdr>
                  <w:divsChild>
                    <w:div w:id="75710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101188">
      <w:marLeft w:val="0"/>
      <w:marRight w:val="0"/>
      <w:marTop w:val="0"/>
      <w:marBottom w:val="0"/>
      <w:divBdr>
        <w:top w:val="none" w:sz="0" w:space="0" w:color="auto"/>
        <w:left w:val="none" w:sz="0" w:space="0" w:color="auto"/>
        <w:bottom w:val="none" w:sz="0" w:space="0" w:color="auto"/>
        <w:right w:val="none" w:sz="0" w:space="0" w:color="auto"/>
      </w:divBdr>
      <w:divsChild>
        <w:div w:id="757101172">
          <w:marLeft w:val="0"/>
          <w:marRight w:val="0"/>
          <w:marTop w:val="0"/>
          <w:marBottom w:val="0"/>
          <w:divBdr>
            <w:top w:val="none" w:sz="0" w:space="0" w:color="auto"/>
            <w:left w:val="none" w:sz="0" w:space="0" w:color="auto"/>
            <w:bottom w:val="none" w:sz="0" w:space="0" w:color="auto"/>
            <w:right w:val="none" w:sz="0" w:space="0" w:color="auto"/>
          </w:divBdr>
          <w:divsChild>
            <w:div w:id="757101176">
              <w:marLeft w:val="0"/>
              <w:marRight w:val="0"/>
              <w:marTop w:val="0"/>
              <w:marBottom w:val="0"/>
              <w:divBdr>
                <w:top w:val="none" w:sz="0" w:space="0" w:color="auto"/>
                <w:left w:val="none" w:sz="0" w:space="0" w:color="auto"/>
                <w:bottom w:val="none" w:sz="0" w:space="0" w:color="auto"/>
                <w:right w:val="none" w:sz="0" w:space="0" w:color="auto"/>
              </w:divBdr>
              <w:divsChild>
                <w:div w:id="757101180">
                  <w:marLeft w:val="0"/>
                  <w:marRight w:val="0"/>
                  <w:marTop w:val="0"/>
                  <w:marBottom w:val="0"/>
                  <w:divBdr>
                    <w:top w:val="none" w:sz="0" w:space="0" w:color="auto"/>
                    <w:left w:val="none" w:sz="0" w:space="0" w:color="auto"/>
                    <w:bottom w:val="none" w:sz="0" w:space="0" w:color="auto"/>
                    <w:right w:val="none" w:sz="0" w:space="0" w:color="auto"/>
                  </w:divBdr>
                  <w:divsChild>
                    <w:div w:id="75710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101190">
      <w:marLeft w:val="0"/>
      <w:marRight w:val="0"/>
      <w:marTop w:val="0"/>
      <w:marBottom w:val="0"/>
      <w:divBdr>
        <w:top w:val="none" w:sz="0" w:space="0" w:color="auto"/>
        <w:left w:val="none" w:sz="0" w:space="0" w:color="auto"/>
        <w:bottom w:val="none" w:sz="0" w:space="0" w:color="auto"/>
        <w:right w:val="none" w:sz="0" w:space="0" w:color="auto"/>
      </w:divBdr>
      <w:divsChild>
        <w:div w:id="757101189">
          <w:marLeft w:val="0"/>
          <w:marRight w:val="0"/>
          <w:marTop w:val="0"/>
          <w:marBottom w:val="0"/>
          <w:divBdr>
            <w:top w:val="none" w:sz="0" w:space="0" w:color="auto"/>
            <w:left w:val="none" w:sz="0" w:space="0" w:color="auto"/>
            <w:bottom w:val="none" w:sz="0" w:space="0" w:color="auto"/>
            <w:right w:val="none" w:sz="0" w:space="0" w:color="auto"/>
          </w:divBdr>
          <w:divsChild>
            <w:div w:id="757101174">
              <w:marLeft w:val="0"/>
              <w:marRight w:val="0"/>
              <w:marTop w:val="0"/>
              <w:marBottom w:val="0"/>
              <w:divBdr>
                <w:top w:val="none" w:sz="0" w:space="0" w:color="auto"/>
                <w:left w:val="none" w:sz="0" w:space="0" w:color="auto"/>
                <w:bottom w:val="none" w:sz="0" w:space="0" w:color="auto"/>
                <w:right w:val="none" w:sz="0" w:space="0" w:color="auto"/>
              </w:divBdr>
              <w:divsChild>
                <w:div w:id="757101186">
                  <w:marLeft w:val="0"/>
                  <w:marRight w:val="0"/>
                  <w:marTop w:val="0"/>
                  <w:marBottom w:val="0"/>
                  <w:divBdr>
                    <w:top w:val="none" w:sz="0" w:space="0" w:color="auto"/>
                    <w:left w:val="none" w:sz="0" w:space="0" w:color="auto"/>
                    <w:bottom w:val="none" w:sz="0" w:space="0" w:color="auto"/>
                    <w:right w:val="none" w:sz="0" w:space="0" w:color="auto"/>
                  </w:divBdr>
                  <w:divsChild>
                    <w:div w:id="7571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2411</Words>
  <Characters>13748</Characters>
  <Application>Microsoft Office Word</Application>
  <DocSecurity>0</DocSecurity>
  <Lines>114</Lines>
  <Paragraphs>32</Paragraphs>
  <ScaleCrop>false</ScaleCrop>
  <Company>Salford City Council</Company>
  <LinksUpToDate>false</LinksUpToDate>
  <CharactersWithSpaces>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dc:title>
  <dc:subject/>
  <dc:creator>Salford City Council</dc:creator>
  <cp:keywords/>
  <dc:description/>
  <cp:lastModifiedBy>Stephenson, Anthony</cp:lastModifiedBy>
  <cp:revision>5</cp:revision>
  <cp:lastPrinted>2011-09-09T11:59:00Z</cp:lastPrinted>
  <dcterms:created xsi:type="dcterms:W3CDTF">2011-11-28T12:35:00Z</dcterms:created>
  <dcterms:modified xsi:type="dcterms:W3CDTF">2021-12-03T11:36:00Z</dcterms:modified>
</cp:coreProperties>
</file>