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D22" w:rsidRDefault="00873825">
      <w:r>
        <w:t xml:space="preserve"> </w:t>
      </w:r>
      <w:r w:rsidR="00F1719D">
        <w:t xml:space="preserve"> </w:t>
      </w:r>
    </w:p>
    <w:tbl>
      <w:tblPr>
        <w:tblW w:w="0" w:type="auto"/>
        <w:tblLook w:val="0000"/>
      </w:tblPr>
      <w:tblGrid>
        <w:gridCol w:w="1908"/>
        <w:gridCol w:w="3600"/>
        <w:gridCol w:w="1620"/>
        <w:gridCol w:w="3292"/>
      </w:tblGrid>
      <w:tr w:rsidR="00C14C7E">
        <w:trPr>
          <w:cantSplit/>
          <w:trHeight w:hRule="exact" w:val="851"/>
        </w:trPr>
        <w:tc>
          <w:tcPr>
            <w:tcW w:w="10420" w:type="dxa"/>
            <w:gridSpan w:val="4"/>
          </w:tcPr>
          <w:p w:rsidR="00C14C7E" w:rsidRDefault="00532F3C">
            <w:pPr>
              <w:pStyle w:val="BodyText2"/>
              <w:rPr>
                <w:rFonts w:cs="Arial"/>
              </w:rPr>
            </w:pPr>
            <w:r>
              <w:rPr>
                <w:rFonts w:cs="Arial"/>
                <w:noProof/>
                <w:lang w:eastAsia="en-GB"/>
              </w:rPr>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6480175" cy="514350"/>
                  <wp:effectExtent l="19050" t="0" r="0" b="0"/>
                  <wp:wrapNone/>
                  <wp:docPr id="6" name="Picture 6" descr="memo header b &amp; 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mo header b &amp; w"/>
                          <pic:cNvPicPr>
                            <a:picLocks noChangeAspect="1" noChangeArrowheads="1"/>
                          </pic:cNvPicPr>
                        </pic:nvPicPr>
                        <pic:blipFill>
                          <a:blip r:embed="rId7" cstate="print"/>
                          <a:srcRect/>
                          <a:stretch>
                            <a:fillRect/>
                          </a:stretch>
                        </pic:blipFill>
                        <pic:spPr bwMode="auto">
                          <a:xfrm>
                            <a:off x="0" y="0"/>
                            <a:ext cx="6480175" cy="514350"/>
                          </a:xfrm>
                          <a:prstGeom prst="rect">
                            <a:avLst/>
                          </a:prstGeom>
                          <a:noFill/>
                          <a:ln w="9525">
                            <a:noFill/>
                            <a:miter lim="800000"/>
                            <a:headEnd/>
                            <a:tailEnd/>
                          </a:ln>
                        </pic:spPr>
                      </pic:pic>
                    </a:graphicData>
                  </a:graphic>
                </wp:anchor>
              </w:drawing>
            </w:r>
          </w:p>
        </w:tc>
      </w:tr>
      <w:tr w:rsidR="00C14C7E">
        <w:trPr>
          <w:cantSplit/>
          <w:trHeight w:hRule="exact" w:val="680"/>
        </w:trPr>
        <w:tc>
          <w:tcPr>
            <w:tcW w:w="10420" w:type="dxa"/>
            <w:gridSpan w:val="4"/>
          </w:tcPr>
          <w:p w:rsidR="00C14C7E" w:rsidRDefault="00C14C7E">
            <w:pPr>
              <w:pStyle w:val="BodyText2"/>
              <w:rPr>
                <w:rFonts w:cs="Arial"/>
              </w:rPr>
            </w:pPr>
          </w:p>
        </w:tc>
      </w:tr>
      <w:tr w:rsidR="00C14C7E">
        <w:trPr>
          <w:cantSplit/>
          <w:trHeight w:val="183"/>
        </w:trPr>
        <w:tc>
          <w:tcPr>
            <w:tcW w:w="5508" w:type="dxa"/>
            <w:gridSpan w:val="2"/>
            <w:vMerge w:val="restart"/>
          </w:tcPr>
          <w:p w:rsidR="00C14C7E" w:rsidRDefault="00C14C7E">
            <w:pPr>
              <w:pStyle w:val="BodyText2"/>
              <w:rPr>
                <w:rFonts w:cs="Arial"/>
              </w:rPr>
            </w:pPr>
          </w:p>
        </w:tc>
        <w:tc>
          <w:tcPr>
            <w:tcW w:w="4912" w:type="dxa"/>
            <w:gridSpan w:val="2"/>
          </w:tcPr>
          <w:p w:rsidR="00C14C7E" w:rsidRDefault="00150C6F">
            <w:pPr>
              <w:pStyle w:val="BodyText2"/>
              <w:rPr>
                <w:rFonts w:cs="Arial"/>
              </w:rPr>
            </w:pPr>
            <w:r>
              <w:rPr>
                <w:rFonts w:cs="Arial"/>
              </w:rPr>
              <w:t>Spatial</w:t>
            </w:r>
            <w:r w:rsidR="00C14C7E">
              <w:rPr>
                <w:rFonts w:cs="Arial"/>
              </w:rPr>
              <w:t xml:space="preserve"> Planning</w:t>
            </w:r>
          </w:p>
        </w:tc>
      </w:tr>
      <w:tr w:rsidR="00C14C7E">
        <w:trPr>
          <w:cantSplit/>
          <w:trHeight w:val="183"/>
        </w:trPr>
        <w:tc>
          <w:tcPr>
            <w:tcW w:w="5508" w:type="dxa"/>
            <w:gridSpan w:val="2"/>
            <w:vMerge/>
          </w:tcPr>
          <w:p w:rsidR="00C14C7E" w:rsidRDefault="00C14C7E">
            <w:pPr>
              <w:pStyle w:val="BodyText2"/>
              <w:rPr>
                <w:rFonts w:cs="Arial"/>
              </w:rPr>
            </w:pPr>
          </w:p>
        </w:tc>
        <w:tc>
          <w:tcPr>
            <w:tcW w:w="4912" w:type="dxa"/>
            <w:gridSpan w:val="2"/>
          </w:tcPr>
          <w:p w:rsidR="00C14C7E" w:rsidRDefault="00AD062D">
            <w:pPr>
              <w:pStyle w:val="BodyText2"/>
              <w:rPr>
                <w:rFonts w:cs="Arial"/>
                <w:b/>
                <w:bCs/>
              </w:rPr>
            </w:pPr>
            <w:r>
              <w:rPr>
                <w:rFonts w:cs="Arial"/>
                <w:b/>
                <w:bCs/>
              </w:rPr>
              <w:t>Regeneration</w:t>
            </w:r>
          </w:p>
        </w:tc>
      </w:tr>
      <w:tr w:rsidR="00C14C7E">
        <w:trPr>
          <w:cantSplit/>
          <w:trHeight w:val="183"/>
        </w:trPr>
        <w:tc>
          <w:tcPr>
            <w:tcW w:w="5508" w:type="dxa"/>
            <w:gridSpan w:val="2"/>
            <w:vMerge/>
          </w:tcPr>
          <w:p w:rsidR="00C14C7E" w:rsidRDefault="00C14C7E">
            <w:pPr>
              <w:pStyle w:val="BodyText2"/>
              <w:rPr>
                <w:rFonts w:cs="Arial"/>
              </w:rPr>
            </w:pPr>
          </w:p>
        </w:tc>
        <w:tc>
          <w:tcPr>
            <w:tcW w:w="4912" w:type="dxa"/>
            <w:gridSpan w:val="2"/>
          </w:tcPr>
          <w:p w:rsidR="00C14C7E" w:rsidRDefault="00C14C7E">
            <w:pPr>
              <w:pStyle w:val="BodyText2"/>
              <w:rPr>
                <w:rFonts w:cs="Arial"/>
              </w:rPr>
            </w:pPr>
            <w:smartTag w:uri="urn:schemas-microsoft-com:office:smarttags" w:element="place">
              <w:r>
                <w:rPr>
                  <w:rFonts w:cs="Arial"/>
                </w:rPr>
                <w:t>Salford</w:t>
              </w:r>
            </w:smartTag>
            <w:r>
              <w:rPr>
                <w:rFonts w:cs="Arial"/>
              </w:rPr>
              <w:t xml:space="preserve"> Civic Centre, </w:t>
            </w:r>
            <w:smartTag w:uri="urn:schemas-microsoft-com:office:smarttags" w:element="Street">
              <w:smartTag w:uri="urn:schemas-microsoft-com:office:smarttags" w:element="address">
                <w:r>
                  <w:rPr>
                    <w:rFonts w:cs="Arial"/>
                  </w:rPr>
                  <w:t>Chorley Road</w:t>
                </w:r>
              </w:smartTag>
            </w:smartTag>
          </w:p>
        </w:tc>
      </w:tr>
      <w:tr w:rsidR="00C14C7E">
        <w:trPr>
          <w:cantSplit/>
          <w:trHeight w:val="183"/>
        </w:trPr>
        <w:tc>
          <w:tcPr>
            <w:tcW w:w="5508" w:type="dxa"/>
            <w:gridSpan w:val="2"/>
            <w:vMerge/>
          </w:tcPr>
          <w:p w:rsidR="00C14C7E" w:rsidRDefault="00C14C7E">
            <w:pPr>
              <w:pStyle w:val="BodyText2"/>
              <w:rPr>
                <w:rFonts w:cs="Arial"/>
              </w:rPr>
            </w:pPr>
          </w:p>
        </w:tc>
        <w:tc>
          <w:tcPr>
            <w:tcW w:w="4912" w:type="dxa"/>
            <w:gridSpan w:val="2"/>
          </w:tcPr>
          <w:p w:rsidR="00C14C7E" w:rsidRDefault="00563D6B">
            <w:pPr>
              <w:pStyle w:val="BodyText2"/>
              <w:rPr>
                <w:rFonts w:cs="Arial"/>
              </w:rPr>
            </w:pPr>
            <w:r>
              <w:rPr>
                <w:rFonts w:cs="Arial"/>
              </w:rPr>
              <w:t xml:space="preserve">Swinton, </w:t>
            </w:r>
            <w:smartTag w:uri="urn:schemas-microsoft-com:office:smarttags" w:element="place">
              <w:smartTag w:uri="urn:schemas-microsoft-com:office:smarttags" w:element="City">
                <w:r>
                  <w:rPr>
                    <w:rFonts w:cs="Arial"/>
                  </w:rPr>
                  <w:t>Salford</w:t>
                </w:r>
              </w:smartTag>
              <w:r>
                <w:rPr>
                  <w:rFonts w:cs="Arial"/>
                </w:rPr>
                <w:t xml:space="preserve">, </w:t>
              </w:r>
              <w:smartTag w:uri="urn:schemas-microsoft-com:office:smarttags" w:element="PostalCode">
                <w:r>
                  <w:rPr>
                    <w:rFonts w:cs="Arial"/>
                  </w:rPr>
                  <w:t>M27 5FJ</w:t>
                </w:r>
              </w:smartTag>
            </w:smartTag>
            <w:r w:rsidR="00C14C7E">
              <w:rPr>
                <w:rFonts w:cs="Arial"/>
              </w:rPr>
              <w:t xml:space="preserve">  </w:t>
            </w:r>
          </w:p>
        </w:tc>
      </w:tr>
      <w:tr w:rsidR="00C14C7E">
        <w:trPr>
          <w:cantSplit/>
          <w:trHeight w:val="183"/>
        </w:trPr>
        <w:tc>
          <w:tcPr>
            <w:tcW w:w="5508" w:type="dxa"/>
            <w:gridSpan w:val="2"/>
            <w:vMerge/>
          </w:tcPr>
          <w:p w:rsidR="00C14C7E" w:rsidRDefault="00C14C7E">
            <w:pPr>
              <w:pStyle w:val="BodyText2"/>
              <w:rPr>
                <w:rFonts w:cs="Arial"/>
              </w:rPr>
            </w:pPr>
          </w:p>
        </w:tc>
        <w:tc>
          <w:tcPr>
            <w:tcW w:w="4912" w:type="dxa"/>
            <w:gridSpan w:val="2"/>
          </w:tcPr>
          <w:p w:rsidR="00C14C7E" w:rsidRDefault="00C14C7E">
            <w:pPr>
              <w:pStyle w:val="BodyText2"/>
              <w:rPr>
                <w:rFonts w:cs="Arial"/>
              </w:rPr>
            </w:pPr>
            <w:r>
              <w:rPr>
                <w:rFonts w:cs="Arial"/>
              </w:rPr>
              <w:t>www.salford.gov.uk</w:t>
            </w:r>
          </w:p>
        </w:tc>
      </w:tr>
      <w:tr w:rsidR="00C14C7E">
        <w:trPr>
          <w:cantSplit/>
          <w:trHeight w:hRule="exact" w:val="680"/>
        </w:trPr>
        <w:tc>
          <w:tcPr>
            <w:tcW w:w="10420" w:type="dxa"/>
            <w:gridSpan w:val="4"/>
            <w:tcBorders>
              <w:bottom w:val="single" w:sz="4" w:space="0" w:color="auto"/>
            </w:tcBorders>
          </w:tcPr>
          <w:p w:rsidR="00C14C7E" w:rsidRDefault="00C14C7E">
            <w:pPr>
              <w:pStyle w:val="BodyText2"/>
              <w:rPr>
                <w:rFonts w:cs="Arial"/>
              </w:rPr>
            </w:pPr>
          </w:p>
        </w:tc>
      </w:tr>
      <w:tr w:rsidR="00C14C7E">
        <w:trPr>
          <w:cantSplit/>
          <w:trHeight w:hRule="exact" w:val="397"/>
        </w:trPr>
        <w:tc>
          <w:tcPr>
            <w:tcW w:w="1908" w:type="dxa"/>
            <w:tcBorders>
              <w:top w:val="single" w:sz="4" w:space="0" w:color="auto"/>
              <w:bottom w:val="single" w:sz="6" w:space="0" w:color="auto"/>
            </w:tcBorders>
            <w:vAlign w:val="center"/>
          </w:tcPr>
          <w:p w:rsidR="00C14C7E" w:rsidRDefault="00C14C7E">
            <w:pPr>
              <w:pStyle w:val="BodyText2"/>
              <w:rPr>
                <w:rFonts w:cs="Arial"/>
                <w:b/>
                <w:bCs/>
              </w:rPr>
            </w:pPr>
            <w:r>
              <w:rPr>
                <w:rFonts w:cs="Arial"/>
                <w:b/>
                <w:bCs/>
              </w:rPr>
              <w:t>To</w:t>
            </w:r>
          </w:p>
        </w:tc>
        <w:tc>
          <w:tcPr>
            <w:tcW w:w="3600" w:type="dxa"/>
            <w:tcBorders>
              <w:top w:val="single" w:sz="4" w:space="0" w:color="auto"/>
              <w:bottom w:val="single" w:sz="6" w:space="0" w:color="auto"/>
            </w:tcBorders>
            <w:vAlign w:val="center"/>
          </w:tcPr>
          <w:p w:rsidR="00C14C7E" w:rsidRDefault="003A7A2B" w:rsidP="00727780">
            <w:pPr>
              <w:pStyle w:val="BodyText2"/>
              <w:rPr>
                <w:rFonts w:cs="Arial"/>
              </w:rPr>
            </w:pPr>
            <w:r>
              <w:rPr>
                <w:rFonts w:cs="Arial"/>
              </w:rPr>
              <w:t>Amy Smith</w:t>
            </w:r>
          </w:p>
        </w:tc>
        <w:tc>
          <w:tcPr>
            <w:tcW w:w="1620" w:type="dxa"/>
            <w:tcBorders>
              <w:top w:val="single" w:sz="4" w:space="0" w:color="auto"/>
              <w:bottom w:val="single" w:sz="6" w:space="0" w:color="auto"/>
            </w:tcBorders>
            <w:vAlign w:val="center"/>
          </w:tcPr>
          <w:p w:rsidR="00C14C7E" w:rsidRPr="00563D6B" w:rsidRDefault="00C14C7E">
            <w:pPr>
              <w:pStyle w:val="BodyText2"/>
              <w:rPr>
                <w:rFonts w:cs="Arial"/>
                <w:b/>
              </w:rPr>
            </w:pPr>
            <w:r w:rsidRPr="00563D6B">
              <w:rPr>
                <w:rFonts w:cs="Arial"/>
                <w:b/>
              </w:rPr>
              <w:t>Date</w:t>
            </w:r>
          </w:p>
        </w:tc>
        <w:tc>
          <w:tcPr>
            <w:tcW w:w="3292" w:type="dxa"/>
            <w:tcBorders>
              <w:top w:val="single" w:sz="4" w:space="0" w:color="auto"/>
              <w:bottom w:val="single" w:sz="6" w:space="0" w:color="auto"/>
            </w:tcBorders>
            <w:vAlign w:val="center"/>
          </w:tcPr>
          <w:p w:rsidR="00C14C7E" w:rsidRDefault="003A7A2B" w:rsidP="00F2611F">
            <w:pPr>
              <w:pStyle w:val="BodyText2"/>
              <w:rPr>
                <w:rFonts w:cs="Arial"/>
              </w:rPr>
            </w:pPr>
            <w:r>
              <w:rPr>
                <w:rFonts w:cs="Arial"/>
              </w:rPr>
              <w:t>24 August</w:t>
            </w:r>
            <w:r w:rsidR="00E07EB2">
              <w:rPr>
                <w:rFonts w:cs="Arial"/>
              </w:rPr>
              <w:t xml:space="preserve"> 2017</w:t>
            </w:r>
          </w:p>
        </w:tc>
      </w:tr>
      <w:tr w:rsidR="00C14C7E">
        <w:trPr>
          <w:cantSplit/>
          <w:trHeight w:hRule="exact" w:val="397"/>
        </w:trPr>
        <w:tc>
          <w:tcPr>
            <w:tcW w:w="1908" w:type="dxa"/>
            <w:tcBorders>
              <w:top w:val="single" w:sz="6" w:space="0" w:color="auto"/>
              <w:bottom w:val="single" w:sz="6" w:space="0" w:color="auto"/>
            </w:tcBorders>
            <w:vAlign w:val="center"/>
          </w:tcPr>
          <w:p w:rsidR="00C14C7E" w:rsidRDefault="00C14C7E">
            <w:pPr>
              <w:pStyle w:val="BodyText2"/>
              <w:rPr>
                <w:rFonts w:cs="Arial"/>
                <w:b/>
                <w:bCs/>
              </w:rPr>
            </w:pPr>
            <w:r>
              <w:rPr>
                <w:rFonts w:cs="Arial"/>
                <w:b/>
                <w:bCs/>
              </w:rPr>
              <w:t>Division</w:t>
            </w:r>
          </w:p>
        </w:tc>
        <w:tc>
          <w:tcPr>
            <w:tcW w:w="3600" w:type="dxa"/>
            <w:tcBorders>
              <w:top w:val="single" w:sz="6" w:space="0" w:color="auto"/>
              <w:bottom w:val="single" w:sz="6" w:space="0" w:color="auto"/>
            </w:tcBorders>
            <w:vAlign w:val="center"/>
          </w:tcPr>
          <w:p w:rsidR="00C14C7E" w:rsidRDefault="00852D9C">
            <w:pPr>
              <w:pStyle w:val="BodyText2"/>
              <w:rPr>
                <w:rFonts w:cs="Arial"/>
              </w:rPr>
            </w:pPr>
            <w:r>
              <w:rPr>
                <w:rFonts w:cs="Arial"/>
              </w:rPr>
              <w:t>Development Management</w:t>
            </w:r>
          </w:p>
        </w:tc>
        <w:tc>
          <w:tcPr>
            <w:tcW w:w="1620" w:type="dxa"/>
            <w:tcBorders>
              <w:top w:val="single" w:sz="6" w:space="0" w:color="auto"/>
              <w:bottom w:val="single" w:sz="6" w:space="0" w:color="auto"/>
            </w:tcBorders>
            <w:vAlign w:val="center"/>
          </w:tcPr>
          <w:p w:rsidR="00C14C7E" w:rsidRDefault="00C14C7E">
            <w:pPr>
              <w:pStyle w:val="BodyText2"/>
              <w:rPr>
                <w:rFonts w:cs="Arial"/>
                <w:b/>
                <w:bCs/>
              </w:rPr>
            </w:pPr>
            <w:r>
              <w:rPr>
                <w:rFonts w:cs="Arial"/>
                <w:b/>
                <w:bCs/>
              </w:rPr>
              <w:t>From</w:t>
            </w:r>
          </w:p>
        </w:tc>
        <w:tc>
          <w:tcPr>
            <w:tcW w:w="3292" w:type="dxa"/>
            <w:tcBorders>
              <w:top w:val="single" w:sz="6" w:space="0" w:color="auto"/>
              <w:bottom w:val="single" w:sz="6" w:space="0" w:color="auto"/>
            </w:tcBorders>
            <w:vAlign w:val="center"/>
          </w:tcPr>
          <w:p w:rsidR="00C14C7E" w:rsidRDefault="00727780">
            <w:pPr>
              <w:pStyle w:val="BodyText2"/>
              <w:rPr>
                <w:rFonts w:cs="Arial"/>
              </w:rPr>
            </w:pPr>
            <w:r>
              <w:rPr>
                <w:rFonts w:cs="Arial"/>
              </w:rPr>
              <w:t>Jimmy McManus</w:t>
            </w:r>
          </w:p>
        </w:tc>
      </w:tr>
      <w:tr w:rsidR="00C14C7E">
        <w:trPr>
          <w:cantSplit/>
          <w:trHeight w:hRule="exact" w:val="397"/>
        </w:trPr>
        <w:tc>
          <w:tcPr>
            <w:tcW w:w="1908" w:type="dxa"/>
            <w:tcBorders>
              <w:top w:val="single" w:sz="6" w:space="0" w:color="auto"/>
              <w:bottom w:val="single" w:sz="6" w:space="0" w:color="auto"/>
            </w:tcBorders>
            <w:vAlign w:val="center"/>
          </w:tcPr>
          <w:p w:rsidR="00C14C7E" w:rsidRDefault="00C14C7E">
            <w:pPr>
              <w:pStyle w:val="BodyText2"/>
              <w:rPr>
                <w:rFonts w:cs="Arial"/>
                <w:b/>
                <w:bCs/>
              </w:rPr>
            </w:pPr>
            <w:r>
              <w:rPr>
                <w:rFonts w:cs="Arial"/>
                <w:b/>
                <w:bCs/>
              </w:rPr>
              <w:t>Directorate</w:t>
            </w:r>
          </w:p>
        </w:tc>
        <w:tc>
          <w:tcPr>
            <w:tcW w:w="3600" w:type="dxa"/>
            <w:tcBorders>
              <w:top w:val="single" w:sz="6" w:space="0" w:color="auto"/>
              <w:bottom w:val="single" w:sz="6" w:space="0" w:color="auto"/>
            </w:tcBorders>
            <w:vAlign w:val="center"/>
          </w:tcPr>
          <w:p w:rsidR="00C14C7E" w:rsidRDefault="00852D9C">
            <w:pPr>
              <w:pStyle w:val="BodyText2"/>
              <w:rPr>
                <w:rFonts w:cs="Arial"/>
              </w:rPr>
            </w:pPr>
            <w:r>
              <w:rPr>
                <w:rFonts w:cs="Arial"/>
              </w:rPr>
              <w:t>Urban Vision</w:t>
            </w:r>
          </w:p>
        </w:tc>
        <w:tc>
          <w:tcPr>
            <w:tcW w:w="1620" w:type="dxa"/>
            <w:tcBorders>
              <w:top w:val="single" w:sz="6" w:space="0" w:color="auto"/>
              <w:bottom w:val="single" w:sz="6" w:space="0" w:color="auto"/>
            </w:tcBorders>
            <w:vAlign w:val="center"/>
          </w:tcPr>
          <w:p w:rsidR="00C14C7E" w:rsidRDefault="00C14C7E">
            <w:pPr>
              <w:pStyle w:val="BodyText2"/>
              <w:rPr>
                <w:rFonts w:cs="Arial"/>
                <w:b/>
                <w:bCs/>
              </w:rPr>
            </w:pPr>
            <w:r>
              <w:rPr>
                <w:rFonts w:cs="Arial"/>
                <w:b/>
                <w:bCs/>
              </w:rPr>
              <w:t>Telephone</w:t>
            </w:r>
          </w:p>
        </w:tc>
        <w:tc>
          <w:tcPr>
            <w:tcW w:w="3292" w:type="dxa"/>
            <w:tcBorders>
              <w:top w:val="single" w:sz="6" w:space="0" w:color="auto"/>
              <w:bottom w:val="single" w:sz="6" w:space="0" w:color="auto"/>
            </w:tcBorders>
            <w:vAlign w:val="center"/>
          </w:tcPr>
          <w:p w:rsidR="00C14C7E" w:rsidRDefault="00C14C7E">
            <w:pPr>
              <w:pStyle w:val="BodyText2"/>
              <w:rPr>
                <w:rFonts w:cs="Arial"/>
              </w:rPr>
            </w:pPr>
            <w:r>
              <w:rPr>
                <w:rFonts w:cs="Arial"/>
              </w:rPr>
              <w:t>0161 793</w:t>
            </w:r>
            <w:r w:rsidR="005C233C">
              <w:rPr>
                <w:rFonts w:cs="Arial"/>
              </w:rPr>
              <w:t xml:space="preserve"> </w:t>
            </w:r>
            <w:r w:rsidR="00727780">
              <w:rPr>
                <w:rFonts w:cs="Arial"/>
              </w:rPr>
              <w:t>2796</w:t>
            </w:r>
          </w:p>
        </w:tc>
      </w:tr>
      <w:tr w:rsidR="00C14C7E" w:rsidTr="00513839">
        <w:trPr>
          <w:cantSplit/>
          <w:trHeight w:hRule="exact" w:val="2015"/>
        </w:trPr>
        <w:tc>
          <w:tcPr>
            <w:tcW w:w="1908" w:type="dxa"/>
            <w:tcBorders>
              <w:top w:val="single" w:sz="6" w:space="0" w:color="auto"/>
              <w:bottom w:val="single" w:sz="6" w:space="0" w:color="auto"/>
            </w:tcBorders>
            <w:vAlign w:val="center"/>
          </w:tcPr>
          <w:p w:rsidR="00C14C7E" w:rsidRDefault="00C14C7E">
            <w:pPr>
              <w:pStyle w:val="BodyText2"/>
              <w:rPr>
                <w:rFonts w:cs="Arial"/>
                <w:b/>
                <w:bCs/>
              </w:rPr>
            </w:pPr>
            <w:r>
              <w:rPr>
                <w:rFonts w:cs="Arial"/>
                <w:b/>
                <w:bCs/>
              </w:rPr>
              <w:t>Subject</w:t>
            </w:r>
          </w:p>
        </w:tc>
        <w:tc>
          <w:tcPr>
            <w:tcW w:w="8512" w:type="dxa"/>
            <w:gridSpan w:val="3"/>
            <w:tcBorders>
              <w:top w:val="single" w:sz="6" w:space="0" w:color="auto"/>
              <w:bottom w:val="single" w:sz="6" w:space="0" w:color="auto"/>
            </w:tcBorders>
            <w:vAlign w:val="center"/>
          </w:tcPr>
          <w:p w:rsidR="005529D3" w:rsidRPr="003A7A2B" w:rsidRDefault="00E061EB" w:rsidP="00513839">
            <w:pPr>
              <w:pStyle w:val="BodyText2"/>
              <w:rPr>
                <w:szCs w:val="20"/>
              </w:rPr>
            </w:pPr>
            <w:r w:rsidRPr="003A7A2B">
              <w:rPr>
                <w:szCs w:val="20"/>
              </w:rPr>
              <w:t>17/70</w:t>
            </w:r>
            <w:r w:rsidR="003A7A2B" w:rsidRPr="003A7A2B">
              <w:rPr>
                <w:szCs w:val="20"/>
              </w:rPr>
              <w:t>371</w:t>
            </w:r>
            <w:r w:rsidRPr="003A7A2B">
              <w:rPr>
                <w:szCs w:val="20"/>
              </w:rPr>
              <w:t>/FUL</w:t>
            </w:r>
          </w:p>
          <w:p w:rsidR="005529D3" w:rsidRPr="003A7A2B" w:rsidRDefault="005529D3" w:rsidP="00513839">
            <w:pPr>
              <w:pStyle w:val="BodyText2"/>
              <w:rPr>
                <w:szCs w:val="20"/>
              </w:rPr>
            </w:pPr>
          </w:p>
          <w:p w:rsidR="003A7A2B" w:rsidRPr="003A7A2B" w:rsidRDefault="003A7A2B" w:rsidP="003A7A2B">
            <w:pPr>
              <w:rPr>
                <w:szCs w:val="20"/>
              </w:rPr>
            </w:pPr>
            <w:r w:rsidRPr="003A7A2B">
              <w:rPr>
                <w:szCs w:val="20"/>
              </w:rPr>
              <w:t>Demolition of existing buildings and erection of 24 semi-detached houses, three-storey block with 20 no. apartments and a two storey block with 6 apartments, together with landscaping, parking and associated works</w:t>
            </w:r>
          </w:p>
          <w:p w:rsidR="00E07EB2" w:rsidRPr="003A7A2B" w:rsidRDefault="00E07EB2" w:rsidP="00513839">
            <w:pPr>
              <w:pStyle w:val="BodyText2"/>
              <w:rPr>
                <w:szCs w:val="20"/>
              </w:rPr>
            </w:pPr>
          </w:p>
          <w:p w:rsidR="003A7A2B" w:rsidRPr="003A7A2B" w:rsidRDefault="003A7A2B" w:rsidP="003A7A2B">
            <w:pPr>
              <w:rPr>
                <w:szCs w:val="20"/>
              </w:rPr>
            </w:pPr>
            <w:r w:rsidRPr="003A7A2B">
              <w:rPr>
                <w:szCs w:val="20"/>
              </w:rPr>
              <w:t>J Fletcher Engineering, Lansdowne Road, Eccles, M30 9PD</w:t>
            </w:r>
          </w:p>
          <w:p w:rsidR="005529D3" w:rsidRDefault="005529D3" w:rsidP="00513839">
            <w:pPr>
              <w:pStyle w:val="BodyText2"/>
              <w:rPr>
                <w:rFonts w:cs="Arial"/>
              </w:rPr>
            </w:pPr>
          </w:p>
        </w:tc>
      </w:tr>
    </w:tbl>
    <w:p w:rsidR="00C14C7E" w:rsidRDefault="00C14C7E">
      <w:pPr>
        <w:pStyle w:val="BodyText2"/>
        <w:rPr>
          <w:rFonts w:cs="Arial"/>
          <w:u w:val="single"/>
        </w:rPr>
      </w:pPr>
    </w:p>
    <w:p w:rsidR="00D109FB" w:rsidRDefault="00630179" w:rsidP="005529D3">
      <w:pPr>
        <w:rPr>
          <w:color w:val="000000" w:themeColor="text1"/>
        </w:rPr>
      </w:pPr>
      <w:r>
        <w:rPr>
          <w:color w:val="000000" w:themeColor="text1"/>
        </w:rPr>
        <w:t xml:space="preserve">Thank you for your email of the </w:t>
      </w:r>
      <w:r w:rsidR="003A7A2B">
        <w:rPr>
          <w:color w:val="000000" w:themeColor="text1"/>
        </w:rPr>
        <w:t>10 August</w:t>
      </w:r>
      <w:r w:rsidR="005E6D26">
        <w:rPr>
          <w:color w:val="000000" w:themeColor="text1"/>
        </w:rPr>
        <w:t>, comments b</w:t>
      </w:r>
      <w:r w:rsidR="00F2611F">
        <w:rPr>
          <w:color w:val="000000" w:themeColor="text1"/>
        </w:rPr>
        <w:t xml:space="preserve">elow in relation to the issues </w:t>
      </w:r>
      <w:r w:rsidR="003A7A2B">
        <w:rPr>
          <w:color w:val="000000" w:themeColor="text1"/>
        </w:rPr>
        <w:t>identified.</w:t>
      </w:r>
    </w:p>
    <w:p w:rsidR="005E6D26" w:rsidRPr="00630179" w:rsidRDefault="005E6D26" w:rsidP="005529D3">
      <w:pPr>
        <w:rPr>
          <w:color w:val="000000" w:themeColor="text1"/>
        </w:rPr>
      </w:pPr>
    </w:p>
    <w:p w:rsidR="003A7A2B" w:rsidRDefault="003A7A2B" w:rsidP="003A7A2B">
      <w:pPr>
        <w:rPr>
          <w:rFonts w:cs="Arial"/>
          <w:b/>
          <w:szCs w:val="20"/>
        </w:rPr>
      </w:pPr>
      <w:r w:rsidRPr="003A7A2B">
        <w:rPr>
          <w:rFonts w:cs="Arial"/>
          <w:b/>
          <w:szCs w:val="20"/>
        </w:rPr>
        <w:t>Loss of Employment Uses</w:t>
      </w:r>
    </w:p>
    <w:p w:rsidR="003A7A2B" w:rsidRPr="003A7A2B" w:rsidRDefault="003A7A2B" w:rsidP="003A7A2B">
      <w:pPr>
        <w:rPr>
          <w:rFonts w:cs="Arial"/>
          <w:b/>
          <w:szCs w:val="20"/>
        </w:rPr>
      </w:pPr>
    </w:p>
    <w:p w:rsidR="003A7A2B" w:rsidRDefault="003A7A2B" w:rsidP="003A7A2B">
      <w:pPr>
        <w:rPr>
          <w:rFonts w:cs="Arial"/>
          <w:szCs w:val="20"/>
        </w:rPr>
      </w:pPr>
      <w:r w:rsidRPr="003A7A2B">
        <w:rPr>
          <w:rFonts w:cs="Arial"/>
          <w:szCs w:val="20"/>
        </w:rPr>
        <w:t>The site is over 0.5 hectares in size and, as such, comprises an established employment are for the purposes of Saved UDP Policy E5. The introduction of non-employment uses in to an employment area must be justified against parts 1 and 2 of this policy.</w:t>
      </w:r>
    </w:p>
    <w:p w:rsidR="003A7A2B" w:rsidRPr="003A7A2B" w:rsidRDefault="003A7A2B" w:rsidP="003A7A2B">
      <w:pPr>
        <w:rPr>
          <w:rFonts w:cs="Arial"/>
          <w:szCs w:val="20"/>
        </w:rPr>
      </w:pPr>
    </w:p>
    <w:p w:rsidR="003A7A2B" w:rsidRDefault="003A7A2B" w:rsidP="003A7A2B">
      <w:pPr>
        <w:rPr>
          <w:rFonts w:cs="Arial"/>
          <w:szCs w:val="20"/>
        </w:rPr>
      </w:pPr>
      <w:r w:rsidRPr="003A7A2B">
        <w:rPr>
          <w:rFonts w:cs="Arial"/>
          <w:szCs w:val="20"/>
        </w:rPr>
        <w:t>Part 1 of Policy E5 requires that the development would not compromise the operating conditions of other remaining employment uses. The site was previously part of a larger employment area which has been redeveloped for residential uses. The site is now an isolated employment use with residenti</w:t>
      </w:r>
      <w:r w:rsidR="00D767DF">
        <w:rPr>
          <w:rFonts w:cs="Arial"/>
          <w:szCs w:val="20"/>
        </w:rPr>
        <w:t>al uses to the north, east and west</w:t>
      </w:r>
      <w:r w:rsidRPr="003A7A2B">
        <w:rPr>
          <w:rFonts w:cs="Arial"/>
          <w:szCs w:val="20"/>
        </w:rPr>
        <w:t xml:space="preserve">. To the south is the M602 and beyond it the </w:t>
      </w:r>
      <w:proofErr w:type="spellStart"/>
      <w:r w:rsidRPr="003A7A2B">
        <w:rPr>
          <w:rFonts w:cs="Arial"/>
          <w:szCs w:val="20"/>
        </w:rPr>
        <w:t>Nasmyth</w:t>
      </w:r>
      <w:proofErr w:type="spellEnd"/>
      <w:r w:rsidRPr="003A7A2B">
        <w:rPr>
          <w:rFonts w:cs="Arial"/>
          <w:szCs w:val="20"/>
        </w:rPr>
        <w:t xml:space="preserve"> Industrial Estate. As the application proposes the redevelopment of all of the employment uses to the north of the M602 there are no issues in relation to the first part of the policy, other than to ensure that access to the employment uses to the south of the M602 along Lansdowne Road is not compromised.</w:t>
      </w:r>
    </w:p>
    <w:p w:rsidR="003A7A2B" w:rsidRPr="003A7A2B" w:rsidRDefault="003A7A2B" w:rsidP="003A7A2B">
      <w:pPr>
        <w:rPr>
          <w:rFonts w:cs="Arial"/>
          <w:szCs w:val="20"/>
        </w:rPr>
      </w:pPr>
    </w:p>
    <w:p w:rsidR="003A7A2B" w:rsidRDefault="003A7A2B" w:rsidP="003A7A2B">
      <w:pPr>
        <w:rPr>
          <w:rFonts w:cs="Arial"/>
          <w:szCs w:val="20"/>
        </w:rPr>
      </w:pPr>
      <w:r w:rsidRPr="003A7A2B">
        <w:rPr>
          <w:rFonts w:cs="Arial"/>
          <w:szCs w:val="20"/>
        </w:rPr>
        <w:t xml:space="preserve">In terms of Part 2 of the policy, it is part 2a that could be directly relevant in this instance. </w:t>
      </w:r>
    </w:p>
    <w:p w:rsidR="003A7A2B" w:rsidRPr="003A7A2B" w:rsidRDefault="003A7A2B" w:rsidP="003A7A2B">
      <w:pPr>
        <w:rPr>
          <w:rFonts w:cs="Arial"/>
          <w:szCs w:val="20"/>
        </w:rPr>
      </w:pPr>
    </w:p>
    <w:p w:rsidR="003A7A2B" w:rsidRDefault="003A7A2B" w:rsidP="003A7A2B">
      <w:pPr>
        <w:rPr>
          <w:rFonts w:cs="Arial"/>
          <w:szCs w:val="20"/>
        </w:rPr>
      </w:pPr>
      <w:r w:rsidRPr="003A7A2B">
        <w:rPr>
          <w:rFonts w:cs="Arial"/>
          <w:szCs w:val="20"/>
        </w:rPr>
        <w:t>The site has been adapted to meet the needs of an engineering firm who, it is understood, are relocating to larger modern premises in the Salford area. The site has been extensively developed to suit the current occupier leaving very little yard space, which limits the availability of parking and manoeuvrability within the site. Salford’s last employment land review commented that “should the existing occupiers vacate the premises it is unlikely to be immediate [sic] interest to alternative industrial/ commercial occupiers” and also that “Sub-division is similarly likely to be unviable”.  These conclusions would appear to remain applicable and, whilst no information on market testing has been provided, it is considered that the nature of the accommodation, limited yard space, proximity of residential uses and access along a residential street (although shared with other HGV/LGV traffic) mean that a potential occupier for the site in its current condition would be unlikely to be forthcoming.</w:t>
      </w:r>
    </w:p>
    <w:p w:rsidR="003A7A2B" w:rsidRPr="003A7A2B" w:rsidRDefault="003A7A2B" w:rsidP="003A7A2B">
      <w:pPr>
        <w:rPr>
          <w:rFonts w:cs="Arial"/>
          <w:szCs w:val="20"/>
        </w:rPr>
      </w:pPr>
    </w:p>
    <w:p w:rsidR="003A7A2B" w:rsidRPr="003A7A2B" w:rsidRDefault="003A7A2B" w:rsidP="003A7A2B">
      <w:pPr>
        <w:pStyle w:val="Default"/>
        <w:rPr>
          <w:sz w:val="20"/>
          <w:szCs w:val="20"/>
        </w:rPr>
      </w:pPr>
      <w:r w:rsidRPr="003A7A2B">
        <w:rPr>
          <w:sz w:val="20"/>
          <w:szCs w:val="20"/>
        </w:rPr>
        <w:t xml:space="preserve">In order to present a marketable proposition, the site is likely to require significant demolition/refurbishment works and/or complete redevelopment. The last employment land review again comments that “the small size of the site and existing building profile are likely to negatively impact on the financial viability of any redevelopment proposals” </w:t>
      </w:r>
      <w:r w:rsidRPr="003A7A2B">
        <w:rPr>
          <w:sz w:val="20"/>
          <w:szCs w:val="20"/>
        </w:rPr>
        <w:lastRenderedPageBreak/>
        <w:t xml:space="preserve">and that “The employment area does not share particularly close linkages with any other employment areas, consequently any future employment uses would have to be sensitive to the increasingly residential nature of the surrounding environment”. It is also notable that there is significant competition in the local area including from </w:t>
      </w:r>
      <w:proofErr w:type="spellStart"/>
      <w:r w:rsidRPr="003A7A2B">
        <w:rPr>
          <w:sz w:val="20"/>
          <w:szCs w:val="20"/>
        </w:rPr>
        <w:t>Lyntown</w:t>
      </w:r>
      <w:proofErr w:type="spellEnd"/>
      <w:r w:rsidRPr="003A7A2B">
        <w:rPr>
          <w:sz w:val="20"/>
          <w:szCs w:val="20"/>
        </w:rPr>
        <w:t xml:space="preserve"> Trading Estate which does not have similar constraints imposed by the proximity of residential uses.</w:t>
      </w:r>
    </w:p>
    <w:p w:rsidR="003A7A2B" w:rsidRPr="003A7A2B" w:rsidRDefault="003A7A2B" w:rsidP="003A7A2B">
      <w:pPr>
        <w:pStyle w:val="Default"/>
        <w:rPr>
          <w:sz w:val="20"/>
          <w:szCs w:val="20"/>
        </w:rPr>
      </w:pPr>
    </w:p>
    <w:p w:rsidR="003A7A2B" w:rsidRPr="003A7A2B" w:rsidRDefault="003A7A2B" w:rsidP="003A7A2B">
      <w:pPr>
        <w:pStyle w:val="Default"/>
        <w:rPr>
          <w:sz w:val="20"/>
          <w:szCs w:val="20"/>
        </w:rPr>
      </w:pPr>
      <w:r w:rsidRPr="003A7A2B">
        <w:rPr>
          <w:sz w:val="20"/>
          <w:szCs w:val="20"/>
        </w:rPr>
        <w:t>Whilst a detailed viability appraisal of redevelopment options has not been provided, the employment land review identified that such a proposal would be unlikely to be viable and the applicant has stated similarly. The site is constrained in terms of both HGV access and proximity to residential development. The site is the remainder of a larger employment area that has already gone to residential and, as an isolated site surrounded on all sides by residential uses, the site is not one on which new industrial/ warehouse uses would necessarily be encouraged with a view to the types of issues that would be relevant to criteria 2b of Saved UDP Policy E5 and referenced in the supplementary guidance in policy EMP4 of the established employment areas SPD. Given the above, there is a question around the capacity and viability of the site for new industrial/warehouse uses.</w:t>
      </w:r>
    </w:p>
    <w:p w:rsidR="003A7A2B" w:rsidRPr="003A7A2B" w:rsidRDefault="003A7A2B" w:rsidP="003A7A2B">
      <w:pPr>
        <w:pStyle w:val="Default"/>
        <w:rPr>
          <w:sz w:val="20"/>
          <w:szCs w:val="20"/>
        </w:rPr>
      </w:pPr>
    </w:p>
    <w:p w:rsidR="003A7A2B" w:rsidRPr="003A7A2B" w:rsidRDefault="003A7A2B" w:rsidP="003A7A2B">
      <w:pPr>
        <w:pStyle w:val="Default"/>
        <w:rPr>
          <w:sz w:val="20"/>
          <w:szCs w:val="20"/>
        </w:rPr>
      </w:pPr>
      <w:r w:rsidRPr="003A7A2B">
        <w:rPr>
          <w:sz w:val="20"/>
          <w:szCs w:val="20"/>
        </w:rPr>
        <w:t xml:space="preserve">In terms of alternative employment proposals, the site is edge of centre and therefore any office proposals would need to be justified sequentially. Situated at the end of residential street with a limited profile it is not an obvious location for such a use and demand would also be expected to be limited. </w:t>
      </w:r>
    </w:p>
    <w:p w:rsidR="003A7A2B" w:rsidRPr="003A7A2B" w:rsidRDefault="003A7A2B" w:rsidP="003A7A2B">
      <w:pPr>
        <w:pStyle w:val="Default"/>
        <w:rPr>
          <w:sz w:val="20"/>
          <w:szCs w:val="20"/>
        </w:rPr>
      </w:pPr>
    </w:p>
    <w:p w:rsidR="003A7A2B" w:rsidRDefault="003A7A2B" w:rsidP="003A7A2B">
      <w:pPr>
        <w:pStyle w:val="Default"/>
        <w:rPr>
          <w:sz w:val="20"/>
          <w:szCs w:val="20"/>
        </w:rPr>
      </w:pPr>
      <w:r w:rsidRPr="003A7A2B">
        <w:rPr>
          <w:sz w:val="20"/>
          <w:szCs w:val="20"/>
        </w:rPr>
        <w:t>It is therefore considered that the site is unlikely to be taken up by a new occupier in its current form and redevelopment options for industrial/ warehouse development will be heavily restricted by the current layout of buildings, the site’s location and the surrounding residential uses. As such, no objection is raised to the site’s redevelopment in relation to Saved UDP Policy E5.</w:t>
      </w:r>
    </w:p>
    <w:p w:rsidR="003A7A2B" w:rsidRPr="003A7A2B" w:rsidRDefault="003A7A2B" w:rsidP="003A7A2B">
      <w:pPr>
        <w:pStyle w:val="Default"/>
        <w:rPr>
          <w:sz w:val="20"/>
          <w:szCs w:val="20"/>
        </w:rPr>
      </w:pPr>
    </w:p>
    <w:p w:rsidR="003A7A2B" w:rsidRDefault="003A7A2B" w:rsidP="003A7A2B">
      <w:pPr>
        <w:rPr>
          <w:rFonts w:cs="Arial"/>
          <w:b/>
          <w:szCs w:val="20"/>
        </w:rPr>
      </w:pPr>
      <w:r w:rsidRPr="003A7A2B">
        <w:rPr>
          <w:rFonts w:cs="Arial"/>
          <w:b/>
          <w:szCs w:val="20"/>
        </w:rPr>
        <w:t>Mix of dwellings</w:t>
      </w:r>
    </w:p>
    <w:p w:rsidR="003A7A2B" w:rsidRPr="003A7A2B" w:rsidRDefault="003A7A2B" w:rsidP="003A7A2B">
      <w:pPr>
        <w:rPr>
          <w:rFonts w:cs="Arial"/>
          <w:b/>
          <w:szCs w:val="20"/>
        </w:rPr>
      </w:pPr>
    </w:p>
    <w:p w:rsidR="003A7A2B" w:rsidRPr="003A7A2B" w:rsidRDefault="003A7A2B" w:rsidP="003A7A2B">
      <w:pPr>
        <w:rPr>
          <w:rFonts w:cs="Arial"/>
          <w:szCs w:val="20"/>
        </w:rPr>
      </w:pPr>
      <w:r w:rsidRPr="003A7A2B">
        <w:rPr>
          <w:rFonts w:cs="Arial"/>
          <w:szCs w:val="20"/>
        </w:rPr>
        <w:t>The scheme proposes 50 dwellings in the form of 24 four-bed semi-detached houses and 26 apartments. The apartments break down in size as follows</w:t>
      </w:r>
    </w:p>
    <w:p w:rsidR="003A7A2B" w:rsidRPr="003A7A2B" w:rsidRDefault="003A7A2B" w:rsidP="003A7A2B">
      <w:pPr>
        <w:pStyle w:val="ListParagraph"/>
        <w:numPr>
          <w:ilvl w:val="0"/>
          <w:numId w:val="39"/>
        </w:numPr>
        <w:spacing w:before="100" w:beforeAutospacing="1" w:after="100" w:afterAutospacing="1" w:line="240" w:lineRule="auto"/>
        <w:rPr>
          <w:rFonts w:ascii="Arial" w:hAnsi="Arial" w:cs="Arial"/>
          <w:sz w:val="20"/>
          <w:szCs w:val="20"/>
        </w:rPr>
      </w:pPr>
      <w:r w:rsidRPr="003A7A2B">
        <w:rPr>
          <w:rFonts w:ascii="Arial" w:hAnsi="Arial" w:cs="Arial"/>
          <w:sz w:val="20"/>
          <w:szCs w:val="20"/>
        </w:rPr>
        <w:t>20 two-bed apartments (six at 71.4sqm and fourteen at 71sqm)</w:t>
      </w:r>
    </w:p>
    <w:p w:rsidR="003A7A2B" w:rsidRPr="003A7A2B" w:rsidRDefault="003A7A2B" w:rsidP="003A7A2B">
      <w:pPr>
        <w:pStyle w:val="ListParagraph"/>
        <w:numPr>
          <w:ilvl w:val="0"/>
          <w:numId w:val="39"/>
        </w:numPr>
        <w:spacing w:before="100" w:beforeAutospacing="1" w:after="100" w:afterAutospacing="1" w:line="240" w:lineRule="auto"/>
        <w:rPr>
          <w:rFonts w:ascii="Arial" w:hAnsi="Arial" w:cs="Arial"/>
          <w:sz w:val="20"/>
          <w:szCs w:val="20"/>
        </w:rPr>
      </w:pPr>
      <w:r w:rsidRPr="003A7A2B">
        <w:rPr>
          <w:rFonts w:ascii="Arial" w:hAnsi="Arial" w:cs="Arial"/>
          <w:sz w:val="20"/>
          <w:szCs w:val="20"/>
        </w:rPr>
        <w:t>6 one-bed apartments (three at 50.5sqm and three at 57.1sqm)</w:t>
      </w:r>
    </w:p>
    <w:p w:rsidR="003A7A2B" w:rsidRDefault="003A7A2B" w:rsidP="003A7A2B">
      <w:pPr>
        <w:rPr>
          <w:rFonts w:cs="Arial"/>
          <w:szCs w:val="20"/>
        </w:rPr>
      </w:pPr>
      <w:r w:rsidRPr="003A7A2B">
        <w:rPr>
          <w:rFonts w:cs="Arial"/>
          <w:szCs w:val="20"/>
        </w:rPr>
        <w:t xml:space="preserve">Policy HOU1 of the Housing Planning Guidance Document describes that “within West Salford, Broughton Park, Claremont, and the northern part of </w:t>
      </w:r>
      <w:proofErr w:type="spellStart"/>
      <w:r w:rsidRPr="003A7A2B">
        <w:rPr>
          <w:rFonts w:cs="Arial"/>
          <w:szCs w:val="20"/>
        </w:rPr>
        <w:t>Weaste</w:t>
      </w:r>
      <w:proofErr w:type="spellEnd"/>
      <w:r w:rsidRPr="003A7A2B">
        <w:rPr>
          <w:rFonts w:cs="Arial"/>
          <w:szCs w:val="20"/>
        </w:rPr>
        <w:t xml:space="preserve"> and </w:t>
      </w:r>
      <w:proofErr w:type="spellStart"/>
      <w:r w:rsidRPr="003A7A2B">
        <w:rPr>
          <w:rFonts w:cs="Arial"/>
          <w:szCs w:val="20"/>
        </w:rPr>
        <w:t>Seedley</w:t>
      </w:r>
      <w:proofErr w:type="spellEnd"/>
      <w:r w:rsidRPr="003A7A2B">
        <w:rPr>
          <w:rFonts w:cs="Arial"/>
          <w:szCs w:val="20"/>
        </w:rPr>
        <w:t>, the large majority of dwellings within new development should be in the form of houses rather than apartments, in order to protect the existing character of the areas and reflect the generally lower levels of accessibility compared to other parts of the city”. The reasoned justification adds, at paragraph 4.6, that “this will normally mean that at least 80-90% of dwellings on individual sites being in the form of houses rather than apartments”.</w:t>
      </w:r>
    </w:p>
    <w:p w:rsidR="003A7A2B" w:rsidRPr="003A7A2B" w:rsidRDefault="003A7A2B" w:rsidP="003A7A2B">
      <w:pPr>
        <w:rPr>
          <w:rFonts w:cs="Arial"/>
          <w:szCs w:val="20"/>
        </w:rPr>
      </w:pPr>
    </w:p>
    <w:p w:rsidR="003A7A2B" w:rsidRDefault="003A7A2B" w:rsidP="003A7A2B">
      <w:pPr>
        <w:rPr>
          <w:rFonts w:cs="Arial"/>
          <w:szCs w:val="20"/>
        </w:rPr>
      </w:pPr>
      <w:r w:rsidRPr="003A7A2B">
        <w:rPr>
          <w:rFonts w:cs="Arial"/>
          <w:szCs w:val="20"/>
        </w:rPr>
        <w:t>The policy goes on to state that “apartments are likely to be the most appropriate form of development in the city’s town and Neighbourhood Centres (as defined by UDP Policy S1), helping to maximise the number of people who have excellent access to local facilities” but adds that “alternative approaches on individual sites may be permitted where it can be clearly demonstrated by the applicant that there are specific circumstances that justify this, particularly having regard to criteria A-H of UDP Policy H1”.</w:t>
      </w:r>
    </w:p>
    <w:p w:rsidR="003A7A2B" w:rsidRPr="003A7A2B" w:rsidRDefault="003A7A2B" w:rsidP="003A7A2B">
      <w:pPr>
        <w:rPr>
          <w:rFonts w:cs="Arial"/>
          <w:szCs w:val="20"/>
        </w:rPr>
      </w:pPr>
    </w:p>
    <w:p w:rsidR="003A7A2B" w:rsidRDefault="003A7A2B" w:rsidP="003A7A2B">
      <w:pPr>
        <w:rPr>
          <w:rFonts w:cs="Arial"/>
          <w:szCs w:val="20"/>
        </w:rPr>
      </w:pPr>
      <w:r w:rsidRPr="003A7A2B">
        <w:rPr>
          <w:rFonts w:cs="Arial"/>
          <w:szCs w:val="20"/>
        </w:rPr>
        <w:t>Policy HOU2 of the Housing Planning Guidance describes that “the majority of houses should have at least three bedrooms” and that, “where apartments are proposed, they should provide a broad mix of dwellings sizes, both in terms of the number of bedrooms and the net residential floorspace of apartments. Small dwellings (i.e. studios and one bedroom apartments) should not predominate, and a significant proportion of three bedroom apartments should be provided wherever practicable”. The reasoned justification reemphasises the apartment requirement, stating that “the majority of apartments in new development should normally have two or three bedrooms, with a floorspace and layout that makes them adaptable to changing needs (typically 57 square metres or above)”.</w:t>
      </w:r>
    </w:p>
    <w:p w:rsidR="003A7A2B" w:rsidRPr="003A7A2B" w:rsidRDefault="003A7A2B" w:rsidP="003A7A2B">
      <w:pPr>
        <w:rPr>
          <w:rFonts w:cs="Arial"/>
          <w:szCs w:val="20"/>
        </w:rPr>
      </w:pPr>
    </w:p>
    <w:p w:rsidR="003A7A2B" w:rsidRPr="003A7A2B" w:rsidRDefault="003A7A2B" w:rsidP="003A7A2B">
      <w:pPr>
        <w:rPr>
          <w:rFonts w:cs="Arial"/>
          <w:szCs w:val="20"/>
        </w:rPr>
      </w:pPr>
      <w:r w:rsidRPr="003A7A2B">
        <w:rPr>
          <w:rFonts w:cs="Arial"/>
          <w:szCs w:val="20"/>
        </w:rPr>
        <w:t xml:space="preserve">Houses comprise just 67% of the total number of dwellings proposed, which is below the 80-90% specified in the reasoned justification to Policy HOU1. However, the site is just 200m from </w:t>
      </w:r>
      <w:proofErr w:type="spellStart"/>
      <w:r w:rsidRPr="003A7A2B">
        <w:rPr>
          <w:rFonts w:cs="Arial"/>
          <w:szCs w:val="20"/>
        </w:rPr>
        <w:t>Monton</w:t>
      </w:r>
      <w:proofErr w:type="spellEnd"/>
      <w:r w:rsidRPr="003A7A2B">
        <w:rPr>
          <w:rFonts w:cs="Arial"/>
          <w:szCs w:val="20"/>
        </w:rPr>
        <w:t xml:space="preserve"> Neighbourhood Centre, giving future occupants a good level of access to local facilities and therefore this split is considered to be acceptable. </w:t>
      </w:r>
    </w:p>
    <w:p w:rsidR="003A7A2B" w:rsidRDefault="003A7A2B" w:rsidP="003A7A2B">
      <w:pPr>
        <w:rPr>
          <w:rFonts w:cs="Arial"/>
          <w:szCs w:val="20"/>
        </w:rPr>
      </w:pPr>
      <w:r w:rsidRPr="003A7A2B">
        <w:rPr>
          <w:rFonts w:cs="Arial"/>
          <w:szCs w:val="20"/>
        </w:rPr>
        <w:t>All of the houses are four-bed and so comply with Policy HOU2. 77% of the proposed apartments are two-bed, which is consistent with the requirement in Policy HOU2 in respect of small dwellings not dominating. No three bed apartments have however been included which requires further justification given the requirement that “a significant proportion of three bedroom apartments should be provided wherever practicable”.</w:t>
      </w:r>
    </w:p>
    <w:p w:rsidR="003A7A2B" w:rsidRPr="003A7A2B" w:rsidRDefault="003A7A2B" w:rsidP="003A7A2B">
      <w:pPr>
        <w:rPr>
          <w:rFonts w:cs="Arial"/>
          <w:szCs w:val="20"/>
        </w:rPr>
      </w:pPr>
    </w:p>
    <w:p w:rsidR="003A7A2B" w:rsidRDefault="003A7A2B" w:rsidP="003A7A2B">
      <w:pPr>
        <w:rPr>
          <w:rFonts w:cs="Arial"/>
          <w:szCs w:val="20"/>
        </w:rPr>
      </w:pPr>
      <w:r w:rsidRPr="003A7A2B">
        <w:rPr>
          <w:rFonts w:cs="Arial"/>
          <w:szCs w:val="20"/>
        </w:rPr>
        <w:t xml:space="preserve">The size of apartments in terms of floorspace is acceptable with the majority over 57 </w:t>
      </w:r>
      <w:proofErr w:type="spellStart"/>
      <w:r w:rsidRPr="003A7A2B">
        <w:rPr>
          <w:rFonts w:cs="Arial"/>
          <w:szCs w:val="20"/>
        </w:rPr>
        <w:t>sqm</w:t>
      </w:r>
      <w:proofErr w:type="spellEnd"/>
      <w:r w:rsidRPr="003A7A2B">
        <w:rPr>
          <w:rFonts w:cs="Arial"/>
          <w:szCs w:val="20"/>
        </w:rPr>
        <w:t xml:space="preserve">. </w:t>
      </w:r>
    </w:p>
    <w:p w:rsidR="003A7A2B" w:rsidRPr="003A7A2B" w:rsidRDefault="003A7A2B" w:rsidP="003A7A2B">
      <w:pPr>
        <w:rPr>
          <w:rFonts w:cs="Arial"/>
          <w:szCs w:val="20"/>
        </w:rPr>
      </w:pPr>
    </w:p>
    <w:p w:rsidR="003A7A2B" w:rsidRDefault="003A7A2B" w:rsidP="003A7A2B">
      <w:pPr>
        <w:rPr>
          <w:rFonts w:cs="Arial"/>
          <w:b/>
          <w:szCs w:val="20"/>
        </w:rPr>
      </w:pPr>
      <w:r w:rsidRPr="003A7A2B">
        <w:rPr>
          <w:rFonts w:cs="Arial"/>
          <w:b/>
          <w:szCs w:val="20"/>
        </w:rPr>
        <w:t>Affordable Housing</w:t>
      </w:r>
    </w:p>
    <w:p w:rsidR="003A7A2B" w:rsidRPr="003A7A2B" w:rsidRDefault="003A7A2B" w:rsidP="003A7A2B">
      <w:pPr>
        <w:rPr>
          <w:rFonts w:cs="Arial"/>
          <w:b/>
          <w:szCs w:val="20"/>
        </w:rPr>
      </w:pPr>
    </w:p>
    <w:p w:rsidR="003A7A2B" w:rsidRDefault="003A7A2B" w:rsidP="003A7A2B">
      <w:pPr>
        <w:rPr>
          <w:rFonts w:cs="Arial"/>
          <w:szCs w:val="20"/>
        </w:rPr>
      </w:pPr>
      <w:r w:rsidRPr="003A7A2B">
        <w:rPr>
          <w:rFonts w:cs="Arial"/>
          <w:szCs w:val="20"/>
        </w:rPr>
        <w:t xml:space="preserve">The site falls within a mid/high residential value area as defined by the Planning Obligations SPD. Policy OB1 of this guidance requires that 20% of houses and 10% of apartments are affordable. The tenure of the affordable houses should be a mix of 75% social/affordable rented and 25% </w:t>
      </w:r>
      <w:proofErr w:type="gramStart"/>
      <w:r w:rsidRPr="003A7A2B">
        <w:rPr>
          <w:rFonts w:cs="Arial"/>
          <w:szCs w:val="20"/>
        </w:rPr>
        <w:t>intermediate,</w:t>
      </w:r>
      <w:proofErr w:type="gramEnd"/>
      <w:r w:rsidRPr="003A7A2B">
        <w:rPr>
          <w:rFonts w:cs="Arial"/>
          <w:szCs w:val="20"/>
        </w:rPr>
        <w:t xml:space="preserve"> and the affordable apartments should be 100% intermediate. The type and size of the affordable housing should reflect the dwelling mix across the development as a whole, whilst the dwellings should normally be “pepper-potted”. </w:t>
      </w:r>
    </w:p>
    <w:p w:rsidR="003A7A2B" w:rsidRPr="003A7A2B" w:rsidRDefault="003A7A2B" w:rsidP="003A7A2B">
      <w:pPr>
        <w:rPr>
          <w:rFonts w:cs="Arial"/>
          <w:szCs w:val="20"/>
        </w:rPr>
      </w:pPr>
    </w:p>
    <w:p w:rsidR="003A7A2B" w:rsidRPr="003A7A2B" w:rsidRDefault="003A7A2B" w:rsidP="003A7A2B">
      <w:pPr>
        <w:rPr>
          <w:rFonts w:cs="Arial"/>
          <w:szCs w:val="20"/>
        </w:rPr>
      </w:pPr>
      <w:r w:rsidRPr="003A7A2B">
        <w:rPr>
          <w:rFonts w:cs="Arial"/>
          <w:szCs w:val="20"/>
        </w:rPr>
        <w:t xml:space="preserve">The scheme includes 6no. </w:t>
      </w:r>
      <w:proofErr w:type="gramStart"/>
      <w:r w:rsidRPr="003A7A2B">
        <w:rPr>
          <w:rFonts w:cs="Arial"/>
          <w:szCs w:val="20"/>
        </w:rPr>
        <w:t>one-bed</w:t>
      </w:r>
      <w:proofErr w:type="gramEnd"/>
      <w:r w:rsidRPr="003A7A2B">
        <w:rPr>
          <w:rFonts w:cs="Arial"/>
          <w:szCs w:val="20"/>
        </w:rPr>
        <w:t xml:space="preserve"> apartments which are identified as affordable and will be provided in a single block. No detail in relation to the tenure of these dwellings has been provided or how they are to be managed. </w:t>
      </w:r>
    </w:p>
    <w:p w:rsidR="003A7A2B" w:rsidRDefault="003A7A2B" w:rsidP="003A7A2B">
      <w:pPr>
        <w:rPr>
          <w:rFonts w:cs="Arial"/>
          <w:szCs w:val="20"/>
        </w:rPr>
      </w:pPr>
      <w:r w:rsidRPr="003A7A2B">
        <w:rPr>
          <w:rFonts w:cs="Arial"/>
          <w:szCs w:val="20"/>
        </w:rPr>
        <w:t xml:space="preserve">The proposed provision does not meet the requirements of Policy OB1 of the Planning Obligations SPD. The scheme should include 3 affordable apartments (1x2 </w:t>
      </w:r>
      <w:proofErr w:type="gramStart"/>
      <w:r w:rsidRPr="003A7A2B">
        <w:rPr>
          <w:rFonts w:cs="Arial"/>
          <w:szCs w:val="20"/>
        </w:rPr>
        <w:t>bed</w:t>
      </w:r>
      <w:proofErr w:type="gramEnd"/>
      <w:r w:rsidRPr="003A7A2B">
        <w:rPr>
          <w:rFonts w:cs="Arial"/>
          <w:szCs w:val="20"/>
        </w:rPr>
        <w:t xml:space="preserve"> and 2x2 bed) and 5x4 bed affordable houses, with tenures as set out above.</w:t>
      </w:r>
    </w:p>
    <w:p w:rsidR="003A7A2B" w:rsidRPr="003A7A2B" w:rsidRDefault="003A7A2B" w:rsidP="003A7A2B">
      <w:pPr>
        <w:rPr>
          <w:rFonts w:cs="Arial"/>
          <w:szCs w:val="20"/>
        </w:rPr>
      </w:pPr>
    </w:p>
    <w:p w:rsidR="003A7A2B" w:rsidRPr="003A7A2B" w:rsidRDefault="003A7A2B" w:rsidP="003A7A2B">
      <w:pPr>
        <w:rPr>
          <w:rFonts w:cs="Arial"/>
          <w:szCs w:val="20"/>
        </w:rPr>
      </w:pPr>
      <w:r w:rsidRPr="003A7A2B">
        <w:rPr>
          <w:rFonts w:cs="Arial"/>
          <w:szCs w:val="20"/>
        </w:rPr>
        <w:t xml:space="preserve">The applicant is strongly encouraged to discuss the delivery of affordable housing as part of this scheme with Mark Hart in the city council’s Housing Strategy and Enabling team.  </w:t>
      </w:r>
    </w:p>
    <w:p w:rsidR="0095461F" w:rsidRPr="003A7A2B" w:rsidRDefault="0095461F" w:rsidP="00D109FB">
      <w:pPr>
        <w:rPr>
          <w:szCs w:val="20"/>
        </w:rPr>
      </w:pPr>
    </w:p>
    <w:p w:rsidR="0095461F" w:rsidRDefault="0095461F" w:rsidP="00D109FB">
      <w:pPr>
        <w:rPr>
          <w:szCs w:val="20"/>
        </w:rPr>
      </w:pPr>
    </w:p>
    <w:p w:rsidR="003A7A2B" w:rsidRPr="003A7A2B" w:rsidRDefault="003A7A2B" w:rsidP="00D109FB">
      <w:pPr>
        <w:rPr>
          <w:szCs w:val="20"/>
        </w:rPr>
      </w:pPr>
    </w:p>
    <w:p w:rsidR="000C2980" w:rsidRPr="003A7A2B" w:rsidRDefault="000C2980">
      <w:pPr>
        <w:pStyle w:val="BodyText2"/>
        <w:rPr>
          <w:rFonts w:cs="Arial"/>
          <w:szCs w:val="20"/>
          <w:u w:val="single"/>
        </w:rPr>
      </w:pPr>
    </w:p>
    <w:p w:rsidR="002640F2" w:rsidRPr="003A7A2B" w:rsidRDefault="005529D3" w:rsidP="002640F2">
      <w:pPr>
        <w:pStyle w:val="BodyText2"/>
        <w:rPr>
          <w:rFonts w:cs="Arial"/>
          <w:szCs w:val="20"/>
        </w:rPr>
      </w:pPr>
      <w:r w:rsidRPr="003A7A2B">
        <w:rPr>
          <w:rFonts w:cs="Arial"/>
          <w:szCs w:val="20"/>
        </w:rPr>
        <w:t>Jimmy McManus</w:t>
      </w:r>
    </w:p>
    <w:p w:rsidR="00563D6B" w:rsidRPr="003A7A2B" w:rsidRDefault="00563D6B" w:rsidP="002640F2">
      <w:pPr>
        <w:pStyle w:val="BodyText2"/>
        <w:rPr>
          <w:rFonts w:cs="Arial"/>
          <w:szCs w:val="20"/>
        </w:rPr>
      </w:pPr>
      <w:r w:rsidRPr="003A7A2B">
        <w:rPr>
          <w:rFonts w:cs="Arial"/>
          <w:szCs w:val="20"/>
        </w:rPr>
        <w:t>Principal Planner</w:t>
      </w:r>
    </w:p>
    <w:p w:rsidR="00AC19C5" w:rsidRPr="003A7A2B" w:rsidRDefault="002640F2" w:rsidP="004F2538">
      <w:pPr>
        <w:pStyle w:val="BodyText2"/>
        <w:rPr>
          <w:rFonts w:cs="Arial"/>
          <w:szCs w:val="20"/>
        </w:rPr>
      </w:pPr>
      <w:r w:rsidRPr="003A7A2B">
        <w:rPr>
          <w:rFonts w:cs="Arial"/>
          <w:b/>
          <w:szCs w:val="20"/>
        </w:rPr>
        <w:t>Spatial Planning</w:t>
      </w:r>
    </w:p>
    <w:p w:rsidR="002404B4" w:rsidRPr="003A7A2B" w:rsidRDefault="002404B4">
      <w:pPr>
        <w:pStyle w:val="BodyText2"/>
        <w:rPr>
          <w:rFonts w:cs="Arial"/>
          <w:szCs w:val="20"/>
        </w:rPr>
      </w:pPr>
    </w:p>
    <w:sectPr w:rsidR="002404B4" w:rsidRPr="003A7A2B" w:rsidSect="00A061BD">
      <w:footerReference w:type="even" r:id="rId8"/>
      <w:footerReference w:type="default" r:id="rId9"/>
      <w:pgSz w:w="11906" w:h="16838" w:code="9"/>
      <w:pgMar w:top="794" w:right="851" w:bottom="851" w:left="851" w:header="709" w:footer="76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611F" w:rsidRDefault="00F2611F">
      <w:r>
        <w:separator/>
      </w:r>
    </w:p>
  </w:endnote>
  <w:endnote w:type="continuationSeparator" w:id="0">
    <w:p w:rsidR="00F2611F" w:rsidRDefault="00F2611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1F" w:rsidRDefault="004C0E34" w:rsidP="00D01E8B">
    <w:pPr>
      <w:pStyle w:val="Footer"/>
      <w:framePr w:wrap="around" w:vAnchor="text" w:hAnchor="margin" w:xAlign="center" w:y="1"/>
      <w:rPr>
        <w:rStyle w:val="PageNumber"/>
      </w:rPr>
    </w:pPr>
    <w:r>
      <w:rPr>
        <w:rStyle w:val="PageNumber"/>
      </w:rPr>
      <w:fldChar w:fldCharType="begin"/>
    </w:r>
    <w:r w:rsidR="00F2611F">
      <w:rPr>
        <w:rStyle w:val="PageNumber"/>
      </w:rPr>
      <w:instrText xml:space="preserve">PAGE  </w:instrText>
    </w:r>
    <w:r>
      <w:rPr>
        <w:rStyle w:val="PageNumber"/>
      </w:rPr>
      <w:fldChar w:fldCharType="end"/>
    </w:r>
  </w:p>
  <w:p w:rsidR="00F2611F" w:rsidRDefault="00F2611F" w:rsidP="00D01E8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1F" w:rsidRDefault="004C0E34" w:rsidP="00D01E8B">
    <w:pPr>
      <w:pStyle w:val="Footer"/>
      <w:framePr w:wrap="around" w:vAnchor="text" w:hAnchor="margin" w:xAlign="center" w:y="1"/>
      <w:rPr>
        <w:rStyle w:val="PageNumber"/>
      </w:rPr>
    </w:pPr>
    <w:r>
      <w:rPr>
        <w:rStyle w:val="PageNumber"/>
      </w:rPr>
      <w:fldChar w:fldCharType="begin"/>
    </w:r>
    <w:r w:rsidR="00F2611F">
      <w:rPr>
        <w:rStyle w:val="PageNumber"/>
      </w:rPr>
      <w:instrText xml:space="preserve">PAGE  </w:instrText>
    </w:r>
    <w:r>
      <w:rPr>
        <w:rStyle w:val="PageNumber"/>
      </w:rPr>
      <w:fldChar w:fldCharType="separate"/>
    </w:r>
    <w:r w:rsidR="00D767DF">
      <w:rPr>
        <w:rStyle w:val="PageNumber"/>
        <w:noProof/>
      </w:rPr>
      <w:t>3</w:t>
    </w:r>
    <w:r>
      <w:rPr>
        <w:rStyle w:val="PageNumber"/>
      </w:rPr>
      <w:fldChar w:fldCharType="end"/>
    </w:r>
  </w:p>
  <w:p w:rsidR="00F2611F" w:rsidRDefault="00F2611F" w:rsidP="00D01E8B">
    <w:pPr>
      <w:pStyle w:val="Footer"/>
      <w:tabs>
        <w:tab w:val="clear" w:pos="4153"/>
        <w:tab w:val="clear" w:pos="8306"/>
        <w:tab w:val="right" w:pos="10080"/>
      </w:tabs>
      <w:ind w:right="360"/>
    </w:pPr>
    <w:r>
      <w:rPr>
        <w:rFonts w:ascii="Arial Narrow" w:hAnsi="Arial Narrow"/>
        <w:caps/>
        <w:sz w:val="16"/>
      </w:rPr>
      <w:tab/>
    </w:r>
    <w:r>
      <w:rPr>
        <w:noProof/>
        <w:lang w:eastAsia="en-GB"/>
      </w:rPr>
      <w:drawing>
        <wp:inline distT="0" distB="0" distL="0" distR="0">
          <wp:extent cx="431165" cy="362585"/>
          <wp:effectExtent l="19050" t="0" r="6985" b="0"/>
          <wp:docPr id="1" name="Picture 1" descr="positive about disabl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itive about disabled logo"/>
                  <pic:cNvPicPr>
                    <a:picLocks noChangeAspect="1" noChangeArrowheads="1"/>
                  </pic:cNvPicPr>
                </pic:nvPicPr>
                <pic:blipFill>
                  <a:blip r:embed="rId1"/>
                  <a:srcRect/>
                  <a:stretch>
                    <a:fillRect/>
                  </a:stretch>
                </pic:blipFill>
                <pic:spPr bwMode="auto">
                  <a:xfrm>
                    <a:off x="0" y="0"/>
                    <a:ext cx="431165" cy="362585"/>
                  </a:xfrm>
                  <a:prstGeom prst="rect">
                    <a:avLst/>
                  </a:prstGeom>
                  <a:noFill/>
                  <a:ln w="9525">
                    <a:noFill/>
                    <a:miter lim="800000"/>
                    <a:headEnd/>
                    <a:tailEnd/>
                  </a:ln>
                </pic:spPr>
              </pic:pic>
            </a:graphicData>
          </a:graphic>
        </wp:inline>
      </w:drawing>
    </w:r>
  </w:p>
  <w:p w:rsidR="00F2611F" w:rsidRDefault="00F2611F">
    <w:pPr>
      <w:pStyle w:val="Footer"/>
    </w:pPr>
  </w:p>
  <w:p w:rsidR="00F2611F" w:rsidRDefault="00F2611F">
    <w:pPr>
      <w:pStyle w:val="Footer"/>
    </w:pPr>
    <w:r>
      <w:rPr>
        <w:noProof/>
        <w:lang w:eastAsia="en-GB"/>
      </w:rPr>
      <w:drawing>
        <wp:anchor distT="0" distB="0" distL="114300" distR="114300" simplePos="0" relativeHeight="251657728" behindDoc="0" locked="0" layoutInCell="1" allowOverlap="1">
          <wp:simplePos x="0" y="0"/>
          <wp:positionH relativeFrom="column">
            <wp:posOffset>3175</wp:posOffset>
          </wp:positionH>
          <wp:positionV relativeFrom="paragraph">
            <wp:posOffset>-80645</wp:posOffset>
          </wp:positionV>
          <wp:extent cx="6477000" cy="228600"/>
          <wp:effectExtent l="19050" t="0" r="0" b="0"/>
          <wp:wrapNone/>
          <wp:docPr id="4" name="Picture 4" descr="development services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velopment services footer"/>
                  <pic:cNvPicPr>
                    <a:picLocks noChangeAspect="1" noChangeArrowheads="1"/>
                  </pic:cNvPicPr>
                </pic:nvPicPr>
                <pic:blipFill>
                  <a:blip r:embed="rId2"/>
                  <a:srcRect/>
                  <a:stretch>
                    <a:fillRect/>
                  </a:stretch>
                </pic:blipFill>
                <pic:spPr bwMode="auto">
                  <a:xfrm>
                    <a:off x="0" y="0"/>
                    <a:ext cx="6477000" cy="228600"/>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611F" w:rsidRDefault="00F2611F">
      <w:r>
        <w:separator/>
      </w:r>
    </w:p>
  </w:footnote>
  <w:footnote w:type="continuationSeparator" w:id="0">
    <w:p w:rsidR="00F2611F" w:rsidRDefault="00F261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020BA"/>
    <w:multiLevelType w:val="hybridMultilevel"/>
    <w:tmpl w:val="6316BB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1001B39"/>
    <w:multiLevelType w:val="hybridMultilevel"/>
    <w:tmpl w:val="1F30CA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11A7E99"/>
    <w:multiLevelType w:val="hybridMultilevel"/>
    <w:tmpl w:val="208273F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01554C2D"/>
    <w:multiLevelType w:val="hybridMultilevel"/>
    <w:tmpl w:val="F32A3D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06615874"/>
    <w:multiLevelType w:val="hybridMultilevel"/>
    <w:tmpl w:val="631E113E"/>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11260AB2"/>
    <w:multiLevelType w:val="hybridMultilevel"/>
    <w:tmpl w:val="03121E5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nsid w:val="143B4A62"/>
    <w:multiLevelType w:val="hybridMultilevel"/>
    <w:tmpl w:val="85488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6FD2101"/>
    <w:multiLevelType w:val="hybridMultilevel"/>
    <w:tmpl w:val="97147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C37109A"/>
    <w:multiLevelType w:val="hybridMultilevel"/>
    <w:tmpl w:val="4F4A43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20C5A9A"/>
    <w:multiLevelType w:val="hybridMultilevel"/>
    <w:tmpl w:val="274AB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23A4699"/>
    <w:multiLevelType w:val="hybridMultilevel"/>
    <w:tmpl w:val="2C0AC6E0"/>
    <w:lvl w:ilvl="0" w:tplc="F75C4D1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2324558D"/>
    <w:multiLevelType w:val="hybridMultilevel"/>
    <w:tmpl w:val="76645A7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nsid w:val="27C145A9"/>
    <w:multiLevelType w:val="hybridMultilevel"/>
    <w:tmpl w:val="2C70192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3">
    <w:nsid w:val="294C7DC2"/>
    <w:multiLevelType w:val="hybridMultilevel"/>
    <w:tmpl w:val="34B8DC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952572D"/>
    <w:multiLevelType w:val="hybridMultilevel"/>
    <w:tmpl w:val="581CB1A6"/>
    <w:lvl w:ilvl="0" w:tplc="08090017">
      <w:start w:val="1"/>
      <w:numFmt w:val="lowerLetter"/>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15">
    <w:nsid w:val="2A496E7D"/>
    <w:multiLevelType w:val="hybridMultilevel"/>
    <w:tmpl w:val="7AFA45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A5403B4"/>
    <w:multiLevelType w:val="hybridMultilevel"/>
    <w:tmpl w:val="6D36354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7">
    <w:nsid w:val="2D9E500C"/>
    <w:multiLevelType w:val="hybridMultilevel"/>
    <w:tmpl w:val="2B62C6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2FE9363B"/>
    <w:multiLevelType w:val="hybridMultilevel"/>
    <w:tmpl w:val="6618245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nsid w:val="3BBF6073"/>
    <w:multiLevelType w:val="hybridMultilevel"/>
    <w:tmpl w:val="E5CA1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BD10A6D"/>
    <w:multiLevelType w:val="hybridMultilevel"/>
    <w:tmpl w:val="723A90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3C431D17"/>
    <w:multiLevelType w:val="hybridMultilevel"/>
    <w:tmpl w:val="7E505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05B277C"/>
    <w:multiLevelType w:val="hybridMultilevel"/>
    <w:tmpl w:val="ED8A49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44B3F96"/>
    <w:multiLevelType w:val="hybridMultilevel"/>
    <w:tmpl w:val="1FFA024C"/>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4">
    <w:nsid w:val="44872040"/>
    <w:multiLevelType w:val="hybridMultilevel"/>
    <w:tmpl w:val="C5140C5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nsid w:val="46BD780D"/>
    <w:multiLevelType w:val="hybridMultilevel"/>
    <w:tmpl w:val="9F146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524E45A1"/>
    <w:multiLevelType w:val="hybridMultilevel"/>
    <w:tmpl w:val="0CB6190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7">
    <w:nsid w:val="52CA4709"/>
    <w:multiLevelType w:val="hybridMultilevel"/>
    <w:tmpl w:val="2A6E1324"/>
    <w:lvl w:ilvl="0" w:tplc="78EEBF5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A0171E2"/>
    <w:multiLevelType w:val="hybridMultilevel"/>
    <w:tmpl w:val="69901B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CC50D64"/>
    <w:multiLevelType w:val="hybridMultilevel"/>
    <w:tmpl w:val="CBA88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FE44DF8"/>
    <w:multiLevelType w:val="hybridMultilevel"/>
    <w:tmpl w:val="AF7231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278461A"/>
    <w:multiLevelType w:val="hybridMultilevel"/>
    <w:tmpl w:val="152CA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76E00A4"/>
    <w:multiLevelType w:val="hybridMultilevel"/>
    <w:tmpl w:val="A8543BB0"/>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33">
    <w:nsid w:val="78312FD5"/>
    <w:multiLevelType w:val="hybridMultilevel"/>
    <w:tmpl w:val="788ACCA0"/>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34">
    <w:nsid w:val="79A20AED"/>
    <w:multiLevelType w:val="hybridMultilevel"/>
    <w:tmpl w:val="9AC617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nsid w:val="79EE66E2"/>
    <w:multiLevelType w:val="hybridMultilevel"/>
    <w:tmpl w:val="550632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nsid w:val="7D882CE8"/>
    <w:multiLevelType w:val="hybridMultilevel"/>
    <w:tmpl w:val="27EE55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7F5E0CDC"/>
    <w:multiLevelType w:val="hybridMultilevel"/>
    <w:tmpl w:val="22489446"/>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3"/>
  </w:num>
  <w:num w:numId="2">
    <w:abstractNumId w:val="26"/>
  </w:num>
  <w:num w:numId="3">
    <w:abstractNumId w:val="22"/>
  </w:num>
  <w:num w:numId="4">
    <w:abstractNumId w:val="27"/>
  </w:num>
  <w:num w:numId="5">
    <w:abstractNumId w:val="16"/>
  </w:num>
  <w:num w:numId="6">
    <w:abstractNumId w:val="28"/>
  </w:num>
  <w:num w:numId="7">
    <w:abstractNumId w:val="0"/>
  </w:num>
  <w:num w:numId="8">
    <w:abstractNumId w:val="1"/>
  </w:num>
  <w:num w:numId="9">
    <w:abstractNumId w:val="30"/>
  </w:num>
  <w:num w:numId="10">
    <w:abstractNumId w:val="3"/>
  </w:num>
  <w:num w:numId="11">
    <w:abstractNumId w:val="13"/>
  </w:num>
  <w:num w:numId="12">
    <w:abstractNumId w:val="36"/>
  </w:num>
  <w:num w:numId="13">
    <w:abstractNumId w:val="35"/>
  </w:num>
  <w:num w:numId="14">
    <w:abstractNumId w:val="25"/>
  </w:num>
  <w:num w:numId="15">
    <w:abstractNumId w:val="34"/>
  </w:num>
  <w:num w:numId="16">
    <w:abstractNumId w:val="17"/>
  </w:num>
  <w:num w:numId="17">
    <w:abstractNumId w:val="4"/>
  </w:num>
  <w:num w:numId="18">
    <w:abstractNumId w:val="32"/>
  </w:num>
  <w:num w:numId="19">
    <w:abstractNumId w:val="10"/>
  </w:num>
  <w:num w:numId="20">
    <w:abstractNumId w:val="37"/>
  </w:num>
  <w:num w:numId="21">
    <w:abstractNumId w:val="23"/>
  </w:num>
  <w:num w:numId="22">
    <w:abstractNumId w:val="12"/>
  </w:num>
  <w:num w:numId="23">
    <w:abstractNumId w:val="20"/>
  </w:num>
  <w:num w:numId="24">
    <w:abstractNumId w:val="15"/>
  </w:num>
  <w:num w:numId="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 w:numId="29">
    <w:abstractNumId w:val="29"/>
  </w:num>
  <w:num w:numId="30">
    <w:abstractNumId w:val="7"/>
  </w:num>
  <w:num w:numId="31">
    <w:abstractNumId w:val="6"/>
  </w:num>
  <w:num w:numId="32">
    <w:abstractNumId w:val="31"/>
  </w:num>
  <w:num w:numId="33">
    <w:abstractNumId w:val="8"/>
  </w:num>
  <w:num w:numId="34">
    <w:abstractNumId w:val="14"/>
  </w:num>
  <w:num w:numId="3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21"/>
  </w:num>
  <w:num w:numId="3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attachedTemplate r:id="rId1"/>
  <w:stylePaneFormatFilter w:val="3F01"/>
  <w:defaultTabStop w:val="720"/>
  <w:noPunctuationKerning/>
  <w:characterSpacingControl w:val="doNotCompress"/>
  <w:hdrShapeDefaults>
    <o:shapedefaults v:ext="edit" spidmax="35841"/>
  </w:hdrShapeDefaults>
  <w:footnotePr>
    <w:footnote w:id="-1"/>
    <w:footnote w:id="0"/>
  </w:footnotePr>
  <w:endnotePr>
    <w:endnote w:id="-1"/>
    <w:endnote w:id="0"/>
  </w:endnotePr>
  <w:compat/>
  <w:rsids>
    <w:rsidRoot w:val="001C7152"/>
    <w:rsid w:val="000120B2"/>
    <w:rsid w:val="00021A20"/>
    <w:rsid w:val="00026DD1"/>
    <w:rsid w:val="0003287C"/>
    <w:rsid w:val="00034154"/>
    <w:rsid w:val="00034FF8"/>
    <w:rsid w:val="00036AF6"/>
    <w:rsid w:val="00043796"/>
    <w:rsid w:val="00043C80"/>
    <w:rsid w:val="00046588"/>
    <w:rsid w:val="0004677E"/>
    <w:rsid w:val="000509AA"/>
    <w:rsid w:val="0005301A"/>
    <w:rsid w:val="0005584A"/>
    <w:rsid w:val="00065EBD"/>
    <w:rsid w:val="0006667E"/>
    <w:rsid w:val="000723F6"/>
    <w:rsid w:val="0007368D"/>
    <w:rsid w:val="0007499E"/>
    <w:rsid w:val="00075D8E"/>
    <w:rsid w:val="00081C29"/>
    <w:rsid w:val="00084B2B"/>
    <w:rsid w:val="00093D14"/>
    <w:rsid w:val="00097CB3"/>
    <w:rsid w:val="000B0515"/>
    <w:rsid w:val="000B774E"/>
    <w:rsid w:val="000C1FD3"/>
    <w:rsid w:val="000C2980"/>
    <w:rsid w:val="000C3121"/>
    <w:rsid w:val="000C6648"/>
    <w:rsid w:val="000D6700"/>
    <w:rsid w:val="000E2CDF"/>
    <w:rsid w:val="000F6333"/>
    <w:rsid w:val="00104F86"/>
    <w:rsid w:val="001054F0"/>
    <w:rsid w:val="00111519"/>
    <w:rsid w:val="001130F1"/>
    <w:rsid w:val="00113997"/>
    <w:rsid w:val="00114B03"/>
    <w:rsid w:val="0012453F"/>
    <w:rsid w:val="001414B4"/>
    <w:rsid w:val="00150640"/>
    <w:rsid w:val="00150C6F"/>
    <w:rsid w:val="00165263"/>
    <w:rsid w:val="00174279"/>
    <w:rsid w:val="00177483"/>
    <w:rsid w:val="00180C18"/>
    <w:rsid w:val="0018408D"/>
    <w:rsid w:val="00186625"/>
    <w:rsid w:val="00187D2B"/>
    <w:rsid w:val="001909E3"/>
    <w:rsid w:val="00193F92"/>
    <w:rsid w:val="00194D01"/>
    <w:rsid w:val="001952A8"/>
    <w:rsid w:val="0019731D"/>
    <w:rsid w:val="001978BC"/>
    <w:rsid w:val="00197AE2"/>
    <w:rsid w:val="001A0D58"/>
    <w:rsid w:val="001A117B"/>
    <w:rsid w:val="001A36F2"/>
    <w:rsid w:val="001A3F22"/>
    <w:rsid w:val="001A4D88"/>
    <w:rsid w:val="001A5F1B"/>
    <w:rsid w:val="001A6C6B"/>
    <w:rsid w:val="001B02F7"/>
    <w:rsid w:val="001B77A2"/>
    <w:rsid w:val="001C1BFD"/>
    <w:rsid w:val="001C31B1"/>
    <w:rsid w:val="001C5B03"/>
    <w:rsid w:val="001C6C5A"/>
    <w:rsid w:val="001C7152"/>
    <w:rsid w:val="001D0627"/>
    <w:rsid w:val="001D50F8"/>
    <w:rsid w:val="001E0B8A"/>
    <w:rsid w:val="001E22EE"/>
    <w:rsid w:val="001E66A9"/>
    <w:rsid w:val="001F3879"/>
    <w:rsid w:val="001F4128"/>
    <w:rsid w:val="0020024C"/>
    <w:rsid w:val="0020314A"/>
    <w:rsid w:val="002122C5"/>
    <w:rsid w:val="00220497"/>
    <w:rsid w:val="00221446"/>
    <w:rsid w:val="00221F50"/>
    <w:rsid w:val="00222E96"/>
    <w:rsid w:val="00223882"/>
    <w:rsid w:val="00223BE4"/>
    <w:rsid w:val="00231FED"/>
    <w:rsid w:val="002404B4"/>
    <w:rsid w:val="00243132"/>
    <w:rsid w:val="00243EE0"/>
    <w:rsid w:val="00250336"/>
    <w:rsid w:val="002526F0"/>
    <w:rsid w:val="00253D58"/>
    <w:rsid w:val="002623F7"/>
    <w:rsid w:val="002640F2"/>
    <w:rsid w:val="002711C9"/>
    <w:rsid w:val="002741F1"/>
    <w:rsid w:val="00274ACB"/>
    <w:rsid w:val="00285C12"/>
    <w:rsid w:val="002919B2"/>
    <w:rsid w:val="002A18A2"/>
    <w:rsid w:val="002A2B8E"/>
    <w:rsid w:val="002B6A2B"/>
    <w:rsid w:val="002B7265"/>
    <w:rsid w:val="002C028A"/>
    <w:rsid w:val="002C0F5B"/>
    <w:rsid w:val="002C4CEB"/>
    <w:rsid w:val="002C563E"/>
    <w:rsid w:val="002C78F4"/>
    <w:rsid w:val="002D0172"/>
    <w:rsid w:val="002D0D0E"/>
    <w:rsid w:val="002D282D"/>
    <w:rsid w:val="002D71DA"/>
    <w:rsid w:val="002D723C"/>
    <w:rsid w:val="002E1BA7"/>
    <w:rsid w:val="002E6912"/>
    <w:rsid w:val="002E7531"/>
    <w:rsid w:val="002E7760"/>
    <w:rsid w:val="002F056A"/>
    <w:rsid w:val="002F08C5"/>
    <w:rsid w:val="002F0E2D"/>
    <w:rsid w:val="002F1778"/>
    <w:rsid w:val="0030179A"/>
    <w:rsid w:val="003138C0"/>
    <w:rsid w:val="0031512D"/>
    <w:rsid w:val="00321F4F"/>
    <w:rsid w:val="00333DF2"/>
    <w:rsid w:val="003443D5"/>
    <w:rsid w:val="0035089C"/>
    <w:rsid w:val="003551D2"/>
    <w:rsid w:val="00357B54"/>
    <w:rsid w:val="003635B1"/>
    <w:rsid w:val="003645DE"/>
    <w:rsid w:val="00366AA2"/>
    <w:rsid w:val="00375013"/>
    <w:rsid w:val="003772FC"/>
    <w:rsid w:val="00377C28"/>
    <w:rsid w:val="00377FD9"/>
    <w:rsid w:val="00391DA8"/>
    <w:rsid w:val="00391DDA"/>
    <w:rsid w:val="0039304C"/>
    <w:rsid w:val="003A376C"/>
    <w:rsid w:val="003A7A2B"/>
    <w:rsid w:val="003B002C"/>
    <w:rsid w:val="003B0EB5"/>
    <w:rsid w:val="003B292A"/>
    <w:rsid w:val="003B36CD"/>
    <w:rsid w:val="003B4D0F"/>
    <w:rsid w:val="003B76FD"/>
    <w:rsid w:val="003C10DC"/>
    <w:rsid w:val="003C23B2"/>
    <w:rsid w:val="003C33F7"/>
    <w:rsid w:val="003C3472"/>
    <w:rsid w:val="003C55C8"/>
    <w:rsid w:val="003C5CF3"/>
    <w:rsid w:val="003C70E5"/>
    <w:rsid w:val="003D2EF2"/>
    <w:rsid w:val="003E3DDA"/>
    <w:rsid w:val="003F1464"/>
    <w:rsid w:val="003F5A9A"/>
    <w:rsid w:val="003F7C6F"/>
    <w:rsid w:val="00402448"/>
    <w:rsid w:val="0040370F"/>
    <w:rsid w:val="004042AB"/>
    <w:rsid w:val="00406395"/>
    <w:rsid w:val="00412567"/>
    <w:rsid w:val="00414AFF"/>
    <w:rsid w:val="0041547D"/>
    <w:rsid w:val="00415B72"/>
    <w:rsid w:val="00417704"/>
    <w:rsid w:val="00422704"/>
    <w:rsid w:val="004238BB"/>
    <w:rsid w:val="004250F9"/>
    <w:rsid w:val="00426E05"/>
    <w:rsid w:val="004327A0"/>
    <w:rsid w:val="0043475A"/>
    <w:rsid w:val="00436BE7"/>
    <w:rsid w:val="00440545"/>
    <w:rsid w:val="00440749"/>
    <w:rsid w:val="00443813"/>
    <w:rsid w:val="0045044C"/>
    <w:rsid w:val="004532CF"/>
    <w:rsid w:val="00453E8C"/>
    <w:rsid w:val="0045748D"/>
    <w:rsid w:val="004579BB"/>
    <w:rsid w:val="00461B50"/>
    <w:rsid w:val="0046601B"/>
    <w:rsid w:val="004711CB"/>
    <w:rsid w:val="00471BEF"/>
    <w:rsid w:val="004814BC"/>
    <w:rsid w:val="00481638"/>
    <w:rsid w:val="00482DF2"/>
    <w:rsid w:val="00483206"/>
    <w:rsid w:val="00484760"/>
    <w:rsid w:val="00487752"/>
    <w:rsid w:val="004904EF"/>
    <w:rsid w:val="00493206"/>
    <w:rsid w:val="004A5C5A"/>
    <w:rsid w:val="004B6DA6"/>
    <w:rsid w:val="004C0B9D"/>
    <w:rsid w:val="004C0E34"/>
    <w:rsid w:val="004C3054"/>
    <w:rsid w:val="004C3F3C"/>
    <w:rsid w:val="004C45B9"/>
    <w:rsid w:val="004C4ECB"/>
    <w:rsid w:val="004D385E"/>
    <w:rsid w:val="004D544D"/>
    <w:rsid w:val="004D56BB"/>
    <w:rsid w:val="004E21E7"/>
    <w:rsid w:val="004F2538"/>
    <w:rsid w:val="004F327A"/>
    <w:rsid w:val="004F4D6A"/>
    <w:rsid w:val="004F5961"/>
    <w:rsid w:val="005056C0"/>
    <w:rsid w:val="00505EB7"/>
    <w:rsid w:val="00506416"/>
    <w:rsid w:val="00511C8E"/>
    <w:rsid w:val="00513839"/>
    <w:rsid w:val="00513F34"/>
    <w:rsid w:val="00521199"/>
    <w:rsid w:val="00523174"/>
    <w:rsid w:val="00523C76"/>
    <w:rsid w:val="00524E69"/>
    <w:rsid w:val="00525423"/>
    <w:rsid w:val="005254D4"/>
    <w:rsid w:val="00526E88"/>
    <w:rsid w:val="00527FF8"/>
    <w:rsid w:val="00532BB2"/>
    <w:rsid w:val="00532F3C"/>
    <w:rsid w:val="00543BF0"/>
    <w:rsid w:val="00546399"/>
    <w:rsid w:val="00546675"/>
    <w:rsid w:val="0054783D"/>
    <w:rsid w:val="0055011B"/>
    <w:rsid w:val="005529D3"/>
    <w:rsid w:val="00557D92"/>
    <w:rsid w:val="005611D9"/>
    <w:rsid w:val="00562B60"/>
    <w:rsid w:val="00563D6B"/>
    <w:rsid w:val="00564070"/>
    <w:rsid w:val="00564731"/>
    <w:rsid w:val="00571354"/>
    <w:rsid w:val="00577DE7"/>
    <w:rsid w:val="00581128"/>
    <w:rsid w:val="00582A02"/>
    <w:rsid w:val="00583A1C"/>
    <w:rsid w:val="0058574A"/>
    <w:rsid w:val="005977C0"/>
    <w:rsid w:val="005A115F"/>
    <w:rsid w:val="005A1817"/>
    <w:rsid w:val="005A7C52"/>
    <w:rsid w:val="005B0A73"/>
    <w:rsid w:val="005B5826"/>
    <w:rsid w:val="005B74BE"/>
    <w:rsid w:val="005C0FFB"/>
    <w:rsid w:val="005C233C"/>
    <w:rsid w:val="005C2447"/>
    <w:rsid w:val="005C32D8"/>
    <w:rsid w:val="005C4E6B"/>
    <w:rsid w:val="005C71AC"/>
    <w:rsid w:val="005D7CA7"/>
    <w:rsid w:val="005E6D26"/>
    <w:rsid w:val="005F18B3"/>
    <w:rsid w:val="005F3F16"/>
    <w:rsid w:val="005F4846"/>
    <w:rsid w:val="005F687F"/>
    <w:rsid w:val="006036F2"/>
    <w:rsid w:val="006078A8"/>
    <w:rsid w:val="00610D8C"/>
    <w:rsid w:val="0061292B"/>
    <w:rsid w:val="006138AD"/>
    <w:rsid w:val="0061517F"/>
    <w:rsid w:val="006260D3"/>
    <w:rsid w:val="00627FAB"/>
    <w:rsid w:val="00630179"/>
    <w:rsid w:val="006302B8"/>
    <w:rsid w:val="0063161C"/>
    <w:rsid w:val="0063598F"/>
    <w:rsid w:val="00635BBD"/>
    <w:rsid w:val="006378CA"/>
    <w:rsid w:val="00640854"/>
    <w:rsid w:val="0064558F"/>
    <w:rsid w:val="0065189C"/>
    <w:rsid w:val="00655210"/>
    <w:rsid w:val="006563AE"/>
    <w:rsid w:val="006568CE"/>
    <w:rsid w:val="0065711C"/>
    <w:rsid w:val="0066412C"/>
    <w:rsid w:val="006661A9"/>
    <w:rsid w:val="006711EC"/>
    <w:rsid w:val="00672B15"/>
    <w:rsid w:val="0067350A"/>
    <w:rsid w:val="00673786"/>
    <w:rsid w:val="00674A7D"/>
    <w:rsid w:val="00681453"/>
    <w:rsid w:val="00681B7C"/>
    <w:rsid w:val="00682217"/>
    <w:rsid w:val="00687C75"/>
    <w:rsid w:val="00692F00"/>
    <w:rsid w:val="006B7626"/>
    <w:rsid w:val="006C218A"/>
    <w:rsid w:val="006C63D7"/>
    <w:rsid w:val="006D44C3"/>
    <w:rsid w:val="006E0E3E"/>
    <w:rsid w:val="006E4A1F"/>
    <w:rsid w:val="006E6135"/>
    <w:rsid w:val="006E68B7"/>
    <w:rsid w:val="006F0C2F"/>
    <w:rsid w:val="006F4358"/>
    <w:rsid w:val="007021F3"/>
    <w:rsid w:val="0070400C"/>
    <w:rsid w:val="007208E5"/>
    <w:rsid w:val="00723CD7"/>
    <w:rsid w:val="00725353"/>
    <w:rsid w:val="007272C3"/>
    <w:rsid w:val="00727780"/>
    <w:rsid w:val="00735716"/>
    <w:rsid w:val="00735C49"/>
    <w:rsid w:val="0074351A"/>
    <w:rsid w:val="007439A2"/>
    <w:rsid w:val="00744626"/>
    <w:rsid w:val="00746594"/>
    <w:rsid w:val="00747413"/>
    <w:rsid w:val="007476D0"/>
    <w:rsid w:val="00755936"/>
    <w:rsid w:val="00757012"/>
    <w:rsid w:val="00761940"/>
    <w:rsid w:val="00761C38"/>
    <w:rsid w:val="00762B6E"/>
    <w:rsid w:val="00763165"/>
    <w:rsid w:val="00765353"/>
    <w:rsid w:val="00767803"/>
    <w:rsid w:val="00773BF8"/>
    <w:rsid w:val="007749F4"/>
    <w:rsid w:val="00774B48"/>
    <w:rsid w:val="00777F16"/>
    <w:rsid w:val="00792205"/>
    <w:rsid w:val="00793DF2"/>
    <w:rsid w:val="00796021"/>
    <w:rsid w:val="00797AD7"/>
    <w:rsid w:val="007A3D3D"/>
    <w:rsid w:val="007B0188"/>
    <w:rsid w:val="007B0F76"/>
    <w:rsid w:val="007B24F8"/>
    <w:rsid w:val="007C1525"/>
    <w:rsid w:val="007C3A82"/>
    <w:rsid w:val="007C742B"/>
    <w:rsid w:val="007D08F0"/>
    <w:rsid w:val="007D0DE1"/>
    <w:rsid w:val="007D0E93"/>
    <w:rsid w:val="007D5563"/>
    <w:rsid w:val="007D5D9E"/>
    <w:rsid w:val="007D6844"/>
    <w:rsid w:val="007E0AB3"/>
    <w:rsid w:val="007E7308"/>
    <w:rsid w:val="007F7539"/>
    <w:rsid w:val="007F7F95"/>
    <w:rsid w:val="00800259"/>
    <w:rsid w:val="00810F43"/>
    <w:rsid w:val="0081525E"/>
    <w:rsid w:val="00816715"/>
    <w:rsid w:val="0082436C"/>
    <w:rsid w:val="00831630"/>
    <w:rsid w:val="00832E13"/>
    <w:rsid w:val="00835334"/>
    <w:rsid w:val="00835425"/>
    <w:rsid w:val="00835CB6"/>
    <w:rsid w:val="00841087"/>
    <w:rsid w:val="00842517"/>
    <w:rsid w:val="00852D9C"/>
    <w:rsid w:val="00855321"/>
    <w:rsid w:val="008555FE"/>
    <w:rsid w:val="00862D55"/>
    <w:rsid w:val="008631C4"/>
    <w:rsid w:val="008639F8"/>
    <w:rsid w:val="00866C8D"/>
    <w:rsid w:val="00866D2B"/>
    <w:rsid w:val="0087093E"/>
    <w:rsid w:val="00870D22"/>
    <w:rsid w:val="00873825"/>
    <w:rsid w:val="00874646"/>
    <w:rsid w:val="00876FE1"/>
    <w:rsid w:val="00877CF8"/>
    <w:rsid w:val="008826B4"/>
    <w:rsid w:val="00882C38"/>
    <w:rsid w:val="008844CE"/>
    <w:rsid w:val="00895F0C"/>
    <w:rsid w:val="008A013A"/>
    <w:rsid w:val="008A288A"/>
    <w:rsid w:val="008A7182"/>
    <w:rsid w:val="008B350E"/>
    <w:rsid w:val="008C0DDE"/>
    <w:rsid w:val="008C20D2"/>
    <w:rsid w:val="008C20D6"/>
    <w:rsid w:val="008C5986"/>
    <w:rsid w:val="008C646A"/>
    <w:rsid w:val="008D0040"/>
    <w:rsid w:val="008D02E0"/>
    <w:rsid w:val="008D0ABC"/>
    <w:rsid w:val="008D3F16"/>
    <w:rsid w:val="008D4687"/>
    <w:rsid w:val="008D5714"/>
    <w:rsid w:val="008D64B0"/>
    <w:rsid w:val="008E2C3C"/>
    <w:rsid w:val="008E3A0D"/>
    <w:rsid w:val="008E40CB"/>
    <w:rsid w:val="008E634A"/>
    <w:rsid w:val="008E641D"/>
    <w:rsid w:val="008E7924"/>
    <w:rsid w:val="008F59E1"/>
    <w:rsid w:val="00900237"/>
    <w:rsid w:val="009048FC"/>
    <w:rsid w:val="0090591D"/>
    <w:rsid w:val="00907211"/>
    <w:rsid w:val="00916E48"/>
    <w:rsid w:val="00925176"/>
    <w:rsid w:val="0092556C"/>
    <w:rsid w:val="00937EDB"/>
    <w:rsid w:val="00944A85"/>
    <w:rsid w:val="0094642E"/>
    <w:rsid w:val="009472D2"/>
    <w:rsid w:val="0095461F"/>
    <w:rsid w:val="009548C7"/>
    <w:rsid w:val="00964DE3"/>
    <w:rsid w:val="009651D0"/>
    <w:rsid w:val="0096737F"/>
    <w:rsid w:val="009710FD"/>
    <w:rsid w:val="00971E5F"/>
    <w:rsid w:val="00973CC3"/>
    <w:rsid w:val="00975AB0"/>
    <w:rsid w:val="0098770C"/>
    <w:rsid w:val="00991EBD"/>
    <w:rsid w:val="00993845"/>
    <w:rsid w:val="009A6D61"/>
    <w:rsid w:val="009B1CF1"/>
    <w:rsid w:val="009B2BE9"/>
    <w:rsid w:val="009B7F83"/>
    <w:rsid w:val="009C3C3C"/>
    <w:rsid w:val="009C7E0C"/>
    <w:rsid w:val="009D1169"/>
    <w:rsid w:val="009E156F"/>
    <w:rsid w:val="009E235B"/>
    <w:rsid w:val="009E7A51"/>
    <w:rsid w:val="009F0CFF"/>
    <w:rsid w:val="009F39CD"/>
    <w:rsid w:val="009F58C0"/>
    <w:rsid w:val="009F7889"/>
    <w:rsid w:val="00A03038"/>
    <w:rsid w:val="00A0322E"/>
    <w:rsid w:val="00A061BD"/>
    <w:rsid w:val="00A1239B"/>
    <w:rsid w:val="00A14BA4"/>
    <w:rsid w:val="00A16275"/>
    <w:rsid w:val="00A2122B"/>
    <w:rsid w:val="00A237D6"/>
    <w:rsid w:val="00A317ED"/>
    <w:rsid w:val="00A33869"/>
    <w:rsid w:val="00A36A8E"/>
    <w:rsid w:val="00A37B3D"/>
    <w:rsid w:val="00A41760"/>
    <w:rsid w:val="00A47912"/>
    <w:rsid w:val="00A52D01"/>
    <w:rsid w:val="00A643D4"/>
    <w:rsid w:val="00A704E0"/>
    <w:rsid w:val="00A742A7"/>
    <w:rsid w:val="00A760B6"/>
    <w:rsid w:val="00A818CF"/>
    <w:rsid w:val="00A822FF"/>
    <w:rsid w:val="00A82749"/>
    <w:rsid w:val="00A833C5"/>
    <w:rsid w:val="00A842BB"/>
    <w:rsid w:val="00A86E4D"/>
    <w:rsid w:val="00A945EE"/>
    <w:rsid w:val="00A94642"/>
    <w:rsid w:val="00A95A7B"/>
    <w:rsid w:val="00AA5C9D"/>
    <w:rsid w:val="00AA6AA6"/>
    <w:rsid w:val="00AB6F27"/>
    <w:rsid w:val="00AB78AD"/>
    <w:rsid w:val="00AB7902"/>
    <w:rsid w:val="00AC19C5"/>
    <w:rsid w:val="00AC69EB"/>
    <w:rsid w:val="00AD04E4"/>
    <w:rsid w:val="00AD062D"/>
    <w:rsid w:val="00AD2046"/>
    <w:rsid w:val="00AD23D9"/>
    <w:rsid w:val="00AD4077"/>
    <w:rsid w:val="00AD5E37"/>
    <w:rsid w:val="00AD6819"/>
    <w:rsid w:val="00AE1E96"/>
    <w:rsid w:val="00AE392A"/>
    <w:rsid w:val="00AE3E6D"/>
    <w:rsid w:val="00AF206E"/>
    <w:rsid w:val="00AF7829"/>
    <w:rsid w:val="00B0098B"/>
    <w:rsid w:val="00B03F96"/>
    <w:rsid w:val="00B07B7C"/>
    <w:rsid w:val="00B14F41"/>
    <w:rsid w:val="00B15860"/>
    <w:rsid w:val="00B25180"/>
    <w:rsid w:val="00B2584F"/>
    <w:rsid w:val="00B342B2"/>
    <w:rsid w:val="00B343ED"/>
    <w:rsid w:val="00B418A6"/>
    <w:rsid w:val="00B427FD"/>
    <w:rsid w:val="00B44352"/>
    <w:rsid w:val="00B50AD9"/>
    <w:rsid w:val="00B510E4"/>
    <w:rsid w:val="00B519B2"/>
    <w:rsid w:val="00B533BE"/>
    <w:rsid w:val="00B53BED"/>
    <w:rsid w:val="00B54913"/>
    <w:rsid w:val="00B558B7"/>
    <w:rsid w:val="00B63DDF"/>
    <w:rsid w:val="00B67049"/>
    <w:rsid w:val="00B73079"/>
    <w:rsid w:val="00B73AB5"/>
    <w:rsid w:val="00B751F1"/>
    <w:rsid w:val="00B77449"/>
    <w:rsid w:val="00B80612"/>
    <w:rsid w:val="00B808E7"/>
    <w:rsid w:val="00B8448C"/>
    <w:rsid w:val="00B8504F"/>
    <w:rsid w:val="00B86F72"/>
    <w:rsid w:val="00B910AB"/>
    <w:rsid w:val="00B92E9D"/>
    <w:rsid w:val="00B93EED"/>
    <w:rsid w:val="00BA149D"/>
    <w:rsid w:val="00BA3968"/>
    <w:rsid w:val="00BA6902"/>
    <w:rsid w:val="00BB2757"/>
    <w:rsid w:val="00BB71E4"/>
    <w:rsid w:val="00BC18CD"/>
    <w:rsid w:val="00BC2F83"/>
    <w:rsid w:val="00BC759D"/>
    <w:rsid w:val="00BC7632"/>
    <w:rsid w:val="00BD0039"/>
    <w:rsid w:val="00BD2BBC"/>
    <w:rsid w:val="00BD4930"/>
    <w:rsid w:val="00BD4F3C"/>
    <w:rsid w:val="00BD5C9C"/>
    <w:rsid w:val="00BE3366"/>
    <w:rsid w:val="00BF22F0"/>
    <w:rsid w:val="00BF4625"/>
    <w:rsid w:val="00BF59D4"/>
    <w:rsid w:val="00C11650"/>
    <w:rsid w:val="00C14C7E"/>
    <w:rsid w:val="00C16B93"/>
    <w:rsid w:val="00C173BF"/>
    <w:rsid w:val="00C20F01"/>
    <w:rsid w:val="00C22A4E"/>
    <w:rsid w:val="00C235F6"/>
    <w:rsid w:val="00C27646"/>
    <w:rsid w:val="00C33505"/>
    <w:rsid w:val="00C42A7A"/>
    <w:rsid w:val="00C50285"/>
    <w:rsid w:val="00C5107E"/>
    <w:rsid w:val="00C53C21"/>
    <w:rsid w:val="00C566DC"/>
    <w:rsid w:val="00C56AC1"/>
    <w:rsid w:val="00C62DA3"/>
    <w:rsid w:val="00C659EA"/>
    <w:rsid w:val="00C66B51"/>
    <w:rsid w:val="00C711B0"/>
    <w:rsid w:val="00C751E3"/>
    <w:rsid w:val="00C75A89"/>
    <w:rsid w:val="00C81AED"/>
    <w:rsid w:val="00C93C91"/>
    <w:rsid w:val="00C96E08"/>
    <w:rsid w:val="00CA09F1"/>
    <w:rsid w:val="00CA1996"/>
    <w:rsid w:val="00CA439A"/>
    <w:rsid w:val="00CA4D81"/>
    <w:rsid w:val="00CB0FCE"/>
    <w:rsid w:val="00CB41A4"/>
    <w:rsid w:val="00CC3449"/>
    <w:rsid w:val="00CC6CCF"/>
    <w:rsid w:val="00CC6EDC"/>
    <w:rsid w:val="00CC705E"/>
    <w:rsid w:val="00CD0599"/>
    <w:rsid w:val="00CE17F3"/>
    <w:rsid w:val="00CE318C"/>
    <w:rsid w:val="00CE4043"/>
    <w:rsid w:val="00D01E8B"/>
    <w:rsid w:val="00D02A11"/>
    <w:rsid w:val="00D03014"/>
    <w:rsid w:val="00D0715F"/>
    <w:rsid w:val="00D109FB"/>
    <w:rsid w:val="00D13B1C"/>
    <w:rsid w:val="00D14E07"/>
    <w:rsid w:val="00D25D1C"/>
    <w:rsid w:val="00D3533C"/>
    <w:rsid w:val="00D43A96"/>
    <w:rsid w:val="00D46B8E"/>
    <w:rsid w:val="00D47D76"/>
    <w:rsid w:val="00D50E17"/>
    <w:rsid w:val="00D51E0E"/>
    <w:rsid w:val="00D522B0"/>
    <w:rsid w:val="00D54EC1"/>
    <w:rsid w:val="00D54F90"/>
    <w:rsid w:val="00D60B2E"/>
    <w:rsid w:val="00D6619E"/>
    <w:rsid w:val="00D767DF"/>
    <w:rsid w:val="00D81691"/>
    <w:rsid w:val="00D84FB7"/>
    <w:rsid w:val="00D85F18"/>
    <w:rsid w:val="00D86534"/>
    <w:rsid w:val="00D8724C"/>
    <w:rsid w:val="00D92643"/>
    <w:rsid w:val="00D92AAC"/>
    <w:rsid w:val="00DB0192"/>
    <w:rsid w:val="00DB4E86"/>
    <w:rsid w:val="00DB6387"/>
    <w:rsid w:val="00DC1A0F"/>
    <w:rsid w:val="00DC204B"/>
    <w:rsid w:val="00DC374A"/>
    <w:rsid w:val="00DC4B9F"/>
    <w:rsid w:val="00DC63F0"/>
    <w:rsid w:val="00DC72F8"/>
    <w:rsid w:val="00DD050F"/>
    <w:rsid w:val="00DD1DBF"/>
    <w:rsid w:val="00DD2717"/>
    <w:rsid w:val="00DD2747"/>
    <w:rsid w:val="00DD2DFF"/>
    <w:rsid w:val="00DE0797"/>
    <w:rsid w:val="00DE1681"/>
    <w:rsid w:val="00DF1558"/>
    <w:rsid w:val="00DF6712"/>
    <w:rsid w:val="00E03959"/>
    <w:rsid w:val="00E061EB"/>
    <w:rsid w:val="00E07EB2"/>
    <w:rsid w:val="00E132A7"/>
    <w:rsid w:val="00E16DDD"/>
    <w:rsid w:val="00E2272C"/>
    <w:rsid w:val="00E2371A"/>
    <w:rsid w:val="00E26DAE"/>
    <w:rsid w:val="00E37A17"/>
    <w:rsid w:val="00E4106B"/>
    <w:rsid w:val="00E451A5"/>
    <w:rsid w:val="00E45302"/>
    <w:rsid w:val="00E46EB5"/>
    <w:rsid w:val="00E51E1B"/>
    <w:rsid w:val="00E53D01"/>
    <w:rsid w:val="00E54CAA"/>
    <w:rsid w:val="00E66CAD"/>
    <w:rsid w:val="00E703F8"/>
    <w:rsid w:val="00E80B0A"/>
    <w:rsid w:val="00E813FB"/>
    <w:rsid w:val="00E860EB"/>
    <w:rsid w:val="00E87B30"/>
    <w:rsid w:val="00E92963"/>
    <w:rsid w:val="00E93314"/>
    <w:rsid w:val="00E962B3"/>
    <w:rsid w:val="00EA28EB"/>
    <w:rsid w:val="00EA50FB"/>
    <w:rsid w:val="00EA7B30"/>
    <w:rsid w:val="00EA7B6C"/>
    <w:rsid w:val="00EB1BB7"/>
    <w:rsid w:val="00EB4933"/>
    <w:rsid w:val="00EB5DC4"/>
    <w:rsid w:val="00EC1AF0"/>
    <w:rsid w:val="00EC2065"/>
    <w:rsid w:val="00EC33AB"/>
    <w:rsid w:val="00ED1559"/>
    <w:rsid w:val="00ED1DC8"/>
    <w:rsid w:val="00ED624F"/>
    <w:rsid w:val="00EF574D"/>
    <w:rsid w:val="00EF7757"/>
    <w:rsid w:val="00F027A6"/>
    <w:rsid w:val="00F02DF7"/>
    <w:rsid w:val="00F03020"/>
    <w:rsid w:val="00F05C20"/>
    <w:rsid w:val="00F10CF3"/>
    <w:rsid w:val="00F135D5"/>
    <w:rsid w:val="00F14210"/>
    <w:rsid w:val="00F1488A"/>
    <w:rsid w:val="00F16004"/>
    <w:rsid w:val="00F1719D"/>
    <w:rsid w:val="00F21DE7"/>
    <w:rsid w:val="00F23FFB"/>
    <w:rsid w:val="00F2611F"/>
    <w:rsid w:val="00F31959"/>
    <w:rsid w:val="00F33B4D"/>
    <w:rsid w:val="00F41595"/>
    <w:rsid w:val="00F45BD4"/>
    <w:rsid w:val="00F57876"/>
    <w:rsid w:val="00F61F5D"/>
    <w:rsid w:val="00F677FD"/>
    <w:rsid w:val="00F7503F"/>
    <w:rsid w:val="00F80F4E"/>
    <w:rsid w:val="00F84841"/>
    <w:rsid w:val="00F943E7"/>
    <w:rsid w:val="00FA0550"/>
    <w:rsid w:val="00FA71FA"/>
    <w:rsid w:val="00FC1D72"/>
    <w:rsid w:val="00FC3CEC"/>
    <w:rsid w:val="00FC4F00"/>
    <w:rsid w:val="00FC7D38"/>
    <w:rsid w:val="00FD12A7"/>
    <w:rsid w:val="00FD3C02"/>
    <w:rsid w:val="00FD4ED8"/>
    <w:rsid w:val="00FD62A0"/>
    <w:rsid w:val="00FE49B2"/>
    <w:rsid w:val="00FE5982"/>
    <w:rsid w:val="00FE624B"/>
    <w:rsid w:val="00FE75F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358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61BD"/>
    <w:rPr>
      <w:rFonts w:ascii="Arial" w:hAnsi="Arial"/>
      <w:szCs w:val="24"/>
      <w:lang w:eastAsia="en-US"/>
    </w:rPr>
  </w:style>
  <w:style w:type="paragraph" w:styleId="Heading1">
    <w:name w:val="heading 1"/>
    <w:basedOn w:val="Normal"/>
    <w:next w:val="Normal"/>
    <w:qFormat/>
    <w:rsid w:val="00A061BD"/>
    <w:pPr>
      <w:keepNext/>
      <w:spacing w:line="228" w:lineRule="auto"/>
      <w:outlineLvl w:val="0"/>
    </w:pPr>
    <w:rPr>
      <w:b/>
      <w:bCs/>
      <w:sz w:val="18"/>
    </w:rPr>
  </w:style>
  <w:style w:type="paragraph" w:styleId="Heading2">
    <w:name w:val="heading 2"/>
    <w:basedOn w:val="Normal"/>
    <w:next w:val="Normal"/>
    <w:qFormat/>
    <w:rsid w:val="00A061BD"/>
    <w:pPr>
      <w:keepNext/>
      <w:spacing w:line="300" w:lineRule="auto"/>
      <w:outlineLvl w:val="1"/>
    </w:pPr>
    <w:rPr>
      <w:b/>
      <w:bCs/>
    </w:rPr>
  </w:style>
  <w:style w:type="paragraph" w:styleId="Heading3">
    <w:name w:val="heading 3"/>
    <w:basedOn w:val="Normal"/>
    <w:next w:val="Normal"/>
    <w:qFormat/>
    <w:rsid w:val="00A061BD"/>
    <w:pPr>
      <w:keepNext/>
      <w:outlineLvl w:val="2"/>
    </w:pPr>
    <w:rPr>
      <w:i/>
      <w:iCs/>
    </w:rPr>
  </w:style>
  <w:style w:type="paragraph" w:styleId="Heading4">
    <w:name w:val="heading 4"/>
    <w:basedOn w:val="Normal"/>
    <w:next w:val="Normal"/>
    <w:qFormat/>
    <w:rsid w:val="00A061BD"/>
    <w:pPr>
      <w:keepNext/>
      <w:outlineLvl w:val="3"/>
    </w:pPr>
    <w:rPr>
      <w:b/>
      <w:bCs/>
      <w:u w:val="single"/>
    </w:rPr>
  </w:style>
  <w:style w:type="paragraph" w:styleId="Heading5">
    <w:name w:val="heading 5"/>
    <w:basedOn w:val="Normal"/>
    <w:next w:val="Normal"/>
    <w:qFormat/>
    <w:rsid w:val="00A061BD"/>
    <w:pPr>
      <w:keepNext/>
      <w:outlineLvl w:val="4"/>
    </w:pPr>
    <w:rPr>
      <w:b/>
      <w:bCs/>
      <w:color w:val="FF0000"/>
      <w:u w:val="single"/>
    </w:rPr>
  </w:style>
  <w:style w:type="paragraph" w:styleId="Heading6">
    <w:name w:val="heading 6"/>
    <w:basedOn w:val="Normal"/>
    <w:next w:val="Normal"/>
    <w:qFormat/>
    <w:rsid w:val="00A061BD"/>
    <w:pPr>
      <w:keepNext/>
      <w:outlineLvl w:val="5"/>
    </w:pPr>
    <w:rPr>
      <w:b/>
      <w:b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061BD"/>
    <w:pPr>
      <w:tabs>
        <w:tab w:val="center" w:pos="4153"/>
        <w:tab w:val="right" w:pos="8306"/>
      </w:tabs>
    </w:pPr>
  </w:style>
  <w:style w:type="paragraph" w:styleId="Footer">
    <w:name w:val="footer"/>
    <w:basedOn w:val="Normal"/>
    <w:rsid w:val="00A061BD"/>
    <w:pPr>
      <w:tabs>
        <w:tab w:val="center" w:pos="4153"/>
        <w:tab w:val="right" w:pos="8306"/>
      </w:tabs>
    </w:pPr>
  </w:style>
  <w:style w:type="paragraph" w:styleId="BodyText">
    <w:name w:val="Body Text"/>
    <w:basedOn w:val="Normal"/>
    <w:rsid w:val="00A061BD"/>
    <w:rPr>
      <w:rFonts w:cs="Arial"/>
      <w:color w:val="000000"/>
      <w:szCs w:val="20"/>
    </w:rPr>
  </w:style>
  <w:style w:type="character" w:styleId="Hyperlink">
    <w:name w:val="Hyperlink"/>
    <w:basedOn w:val="DefaultParagraphFont"/>
    <w:rsid w:val="00A061BD"/>
    <w:rPr>
      <w:color w:val="0000FF"/>
      <w:u w:val="single"/>
    </w:rPr>
  </w:style>
  <w:style w:type="paragraph" w:styleId="BodyTextIndent">
    <w:name w:val="Body Text Indent"/>
    <w:basedOn w:val="Normal"/>
    <w:rsid w:val="00A061BD"/>
    <w:pPr>
      <w:ind w:left="120" w:firstLine="600"/>
    </w:pPr>
  </w:style>
  <w:style w:type="paragraph" w:styleId="BodyText2">
    <w:name w:val="Body Text 2"/>
    <w:basedOn w:val="Normal"/>
    <w:link w:val="BodyText2Char"/>
    <w:rsid w:val="00A061BD"/>
    <w:pPr>
      <w:jc w:val="both"/>
    </w:pPr>
  </w:style>
  <w:style w:type="paragraph" w:styleId="NormalWeb">
    <w:name w:val="Normal (Web)"/>
    <w:basedOn w:val="Normal"/>
    <w:rsid w:val="00A061BD"/>
    <w:pPr>
      <w:spacing w:after="75"/>
    </w:pPr>
    <w:rPr>
      <w:rFonts w:ascii="Arial Unicode MS" w:eastAsia="Arial Unicode MS" w:hAnsi="Arial Unicode MS" w:cs="Arial Unicode MS"/>
      <w:sz w:val="18"/>
      <w:szCs w:val="18"/>
    </w:rPr>
  </w:style>
  <w:style w:type="character" w:styleId="CommentReference">
    <w:name w:val="annotation reference"/>
    <w:basedOn w:val="DefaultParagraphFont"/>
    <w:semiHidden/>
    <w:rsid w:val="00FE5982"/>
    <w:rPr>
      <w:sz w:val="16"/>
      <w:szCs w:val="16"/>
    </w:rPr>
  </w:style>
  <w:style w:type="paragraph" w:styleId="CommentText">
    <w:name w:val="annotation text"/>
    <w:basedOn w:val="Normal"/>
    <w:semiHidden/>
    <w:rsid w:val="00FE5982"/>
    <w:rPr>
      <w:szCs w:val="20"/>
    </w:rPr>
  </w:style>
  <w:style w:type="paragraph" w:styleId="CommentSubject">
    <w:name w:val="annotation subject"/>
    <w:basedOn w:val="CommentText"/>
    <w:next w:val="CommentText"/>
    <w:semiHidden/>
    <w:rsid w:val="00FE5982"/>
    <w:rPr>
      <w:b/>
      <w:bCs/>
    </w:rPr>
  </w:style>
  <w:style w:type="paragraph" w:styleId="BalloonText">
    <w:name w:val="Balloon Text"/>
    <w:basedOn w:val="Normal"/>
    <w:semiHidden/>
    <w:rsid w:val="00FE5982"/>
    <w:rPr>
      <w:rFonts w:ascii="Tahoma" w:hAnsi="Tahoma" w:cs="Tahoma"/>
      <w:sz w:val="16"/>
      <w:szCs w:val="16"/>
    </w:rPr>
  </w:style>
  <w:style w:type="paragraph" w:customStyle="1" w:styleId="Default">
    <w:name w:val="Default"/>
    <w:rsid w:val="009A6D61"/>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uiPriority w:val="99"/>
    <w:semiHidden/>
    <w:rsid w:val="00D01E8B"/>
    <w:rPr>
      <w:rFonts w:ascii="Times New Roman" w:hAnsi="Times New Roman"/>
      <w:szCs w:val="20"/>
    </w:rPr>
  </w:style>
  <w:style w:type="character" w:styleId="FootnoteReference">
    <w:name w:val="footnote reference"/>
    <w:basedOn w:val="DefaultParagraphFont"/>
    <w:uiPriority w:val="99"/>
    <w:semiHidden/>
    <w:rsid w:val="00D01E8B"/>
    <w:rPr>
      <w:vertAlign w:val="superscript"/>
    </w:rPr>
  </w:style>
  <w:style w:type="character" w:styleId="PageNumber">
    <w:name w:val="page number"/>
    <w:basedOn w:val="DefaultParagraphFont"/>
    <w:rsid w:val="00D01E8B"/>
  </w:style>
  <w:style w:type="paragraph" w:styleId="ListParagraph">
    <w:name w:val="List Paragraph"/>
    <w:basedOn w:val="Normal"/>
    <w:uiPriority w:val="34"/>
    <w:qFormat/>
    <w:rsid w:val="003443D5"/>
    <w:pPr>
      <w:spacing w:after="200" w:line="276" w:lineRule="auto"/>
      <w:ind w:left="720"/>
      <w:contextualSpacing/>
    </w:pPr>
    <w:rPr>
      <w:rFonts w:ascii="Calibri" w:eastAsia="Calibri" w:hAnsi="Calibri"/>
      <w:sz w:val="22"/>
      <w:szCs w:val="22"/>
    </w:rPr>
  </w:style>
  <w:style w:type="character" w:customStyle="1" w:styleId="FootnoteTextChar">
    <w:name w:val="Footnote Text Char"/>
    <w:basedOn w:val="DefaultParagraphFont"/>
    <w:link w:val="FootnoteText"/>
    <w:uiPriority w:val="99"/>
    <w:semiHidden/>
    <w:rsid w:val="003443D5"/>
    <w:rPr>
      <w:lang w:eastAsia="en-US"/>
    </w:rPr>
  </w:style>
  <w:style w:type="character" w:customStyle="1" w:styleId="BodyText2Char">
    <w:name w:val="Body Text 2 Char"/>
    <w:basedOn w:val="DefaultParagraphFont"/>
    <w:link w:val="BodyText2"/>
    <w:rsid w:val="005C0FFB"/>
    <w:rPr>
      <w:rFonts w:ascii="Arial" w:hAnsi="Arial"/>
      <w:szCs w:val="24"/>
      <w:lang w:eastAsia="en-US"/>
    </w:rPr>
  </w:style>
</w:styles>
</file>

<file path=word/webSettings.xml><?xml version="1.0" encoding="utf-8"?>
<w:webSettings xmlns:r="http://schemas.openxmlformats.org/officeDocument/2006/relationships" xmlns:w="http://schemas.openxmlformats.org/wordprocessingml/2006/main">
  <w:divs>
    <w:div w:id="38893907">
      <w:bodyDiv w:val="1"/>
      <w:marLeft w:val="0"/>
      <w:marRight w:val="0"/>
      <w:marTop w:val="0"/>
      <w:marBottom w:val="0"/>
      <w:divBdr>
        <w:top w:val="none" w:sz="0" w:space="0" w:color="auto"/>
        <w:left w:val="none" w:sz="0" w:space="0" w:color="auto"/>
        <w:bottom w:val="none" w:sz="0" w:space="0" w:color="auto"/>
        <w:right w:val="none" w:sz="0" w:space="0" w:color="auto"/>
      </w:divBdr>
    </w:div>
    <w:div w:id="124127253">
      <w:bodyDiv w:val="1"/>
      <w:marLeft w:val="0"/>
      <w:marRight w:val="0"/>
      <w:marTop w:val="0"/>
      <w:marBottom w:val="0"/>
      <w:divBdr>
        <w:top w:val="none" w:sz="0" w:space="0" w:color="auto"/>
        <w:left w:val="none" w:sz="0" w:space="0" w:color="auto"/>
        <w:bottom w:val="none" w:sz="0" w:space="0" w:color="auto"/>
        <w:right w:val="none" w:sz="0" w:space="0" w:color="auto"/>
      </w:divBdr>
      <w:divsChild>
        <w:div w:id="1904634604">
          <w:marLeft w:val="0"/>
          <w:marRight w:val="0"/>
          <w:marTop w:val="0"/>
          <w:marBottom w:val="0"/>
          <w:divBdr>
            <w:top w:val="none" w:sz="0" w:space="0" w:color="auto"/>
            <w:left w:val="none" w:sz="0" w:space="0" w:color="auto"/>
            <w:bottom w:val="none" w:sz="0" w:space="0" w:color="auto"/>
            <w:right w:val="none" w:sz="0" w:space="0" w:color="auto"/>
          </w:divBdr>
        </w:div>
      </w:divsChild>
    </w:div>
    <w:div w:id="576400036">
      <w:bodyDiv w:val="1"/>
      <w:marLeft w:val="0"/>
      <w:marRight w:val="0"/>
      <w:marTop w:val="0"/>
      <w:marBottom w:val="0"/>
      <w:divBdr>
        <w:top w:val="none" w:sz="0" w:space="0" w:color="auto"/>
        <w:left w:val="none" w:sz="0" w:space="0" w:color="auto"/>
        <w:bottom w:val="none" w:sz="0" w:space="0" w:color="auto"/>
        <w:right w:val="none" w:sz="0" w:space="0" w:color="auto"/>
      </w:divBdr>
    </w:div>
    <w:div w:id="824320855">
      <w:bodyDiv w:val="1"/>
      <w:marLeft w:val="0"/>
      <w:marRight w:val="0"/>
      <w:marTop w:val="0"/>
      <w:marBottom w:val="0"/>
      <w:divBdr>
        <w:top w:val="none" w:sz="0" w:space="0" w:color="auto"/>
        <w:left w:val="none" w:sz="0" w:space="0" w:color="auto"/>
        <w:bottom w:val="none" w:sz="0" w:space="0" w:color="auto"/>
        <w:right w:val="none" w:sz="0" w:space="0" w:color="auto"/>
      </w:divBdr>
    </w:div>
    <w:div w:id="897401033">
      <w:bodyDiv w:val="1"/>
      <w:marLeft w:val="0"/>
      <w:marRight w:val="0"/>
      <w:marTop w:val="0"/>
      <w:marBottom w:val="0"/>
      <w:divBdr>
        <w:top w:val="none" w:sz="0" w:space="0" w:color="auto"/>
        <w:left w:val="none" w:sz="0" w:space="0" w:color="auto"/>
        <w:bottom w:val="none" w:sz="0" w:space="0" w:color="auto"/>
        <w:right w:val="none" w:sz="0" w:space="0" w:color="auto"/>
      </w:divBdr>
    </w:div>
    <w:div w:id="992292125">
      <w:bodyDiv w:val="1"/>
      <w:marLeft w:val="0"/>
      <w:marRight w:val="0"/>
      <w:marTop w:val="0"/>
      <w:marBottom w:val="0"/>
      <w:divBdr>
        <w:top w:val="none" w:sz="0" w:space="0" w:color="auto"/>
        <w:left w:val="none" w:sz="0" w:space="0" w:color="auto"/>
        <w:bottom w:val="none" w:sz="0" w:space="0" w:color="auto"/>
        <w:right w:val="none" w:sz="0" w:space="0" w:color="auto"/>
      </w:divBdr>
    </w:div>
    <w:div w:id="1140684888">
      <w:bodyDiv w:val="1"/>
      <w:marLeft w:val="0"/>
      <w:marRight w:val="0"/>
      <w:marTop w:val="0"/>
      <w:marBottom w:val="0"/>
      <w:divBdr>
        <w:top w:val="none" w:sz="0" w:space="0" w:color="auto"/>
        <w:left w:val="none" w:sz="0" w:space="0" w:color="auto"/>
        <w:bottom w:val="none" w:sz="0" w:space="0" w:color="auto"/>
        <w:right w:val="none" w:sz="0" w:space="0" w:color="auto"/>
      </w:divBdr>
    </w:div>
    <w:div w:id="1364987314">
      <w:bodyDiv w:val="1"/>
      <w:marLeft w:val="0"/>
      <w:marRight w:val="0"/>
      <w:marTop w:val="0"/>
      <w:marBottom w:val="0"/>
      <w:divBdr>
        <w:top w:val="none" w:sz="0" w:space="0" w:color="auto"/>
        <w:left w:val="none" w:sz="0" w:space="0" w:color="auto"/>
        <w:bottom w:val="none" w:sz="0" w:space="0" w:color="auto"/>
        <w:right w:val="none" w:sz="0" w:space="0" w:color="auto"/>
      </w:divBdr>
    </w:div>
    <w:div w:id="1628193472">
      <w:bodyDiv w:val="1"/>
      <w:marLeft w:val="0"/>
      <w:marRight w:val="0"/>
      <w:marTop w:val="0"/>
      <w:marBottom w:val="0"/>
      <w:divBdr>
        <w:top w:val="none" w:sz="0" w:space="0" w:color="auto"/>
        <w:left w:val="none" w:sz="0" w:space="0" w:color="auto"/>
        <w:bottom w:val="none" w:sz="0" w:space="0" w:color="auto"/>
        <w:right w:val="none" w:sz="0" w:space="0" w:color="auto"/>
      </w:divBdr>
    </w:div>
    <w:div w:id="1686125816">
      <w:bodyDiv w:val="1"/>
      <w:marLeft w:val="0"/>
      <w:marRight w:val="0"/>
      <w:marTop w:val="0"/>
      <w:marBottom w:val="0"/>
      <w:divBdr>
        <w:top w:val="none" w:sz="0" w:space="0" w:color="auto"/>
        <w:left w:val="none" w:sz="0" w:space="0" w:color="auto"/>
        <w:bottom w:val="none" w:sz="0" w:space="0" w:color="auto"/>
        <w:right w:val="none" w:sz="0" w:space="0" w:color="auto"/>
      </w:divBdr>
    </w:div>
    <w:div w:id="1721202847">
      <w:bodyDiv w:val="1"/>
      <w:marLeft w:val="0"/>
      <w:marRight w:val="0"/>
      <w:marTop w:val="0"/>
      <w:marBottom w:val="0"/>
      <w:divBdr>
        <w:top w:val="none" w:sz="0" w:space="0" w:color="auto"/>
        <w:left w:val="none" w:sz="0" w:space="0" w:color="auto"/>
        <w:bottom w:val="none" w:sz="0" w:space="0" w:color="auto"/>
        <w:right w:val="none" w:sz="0" w:space="0" w:color="auto"/>
      </w:divBdr>
    </w:div>
    <w:div w:id="2136217520">
      <w:bodyDiv w:val="1"/>
      <w:marLeft w:val="0"/>
      <w:marRight w:val="0"/>
      <w:marTop w:val="0"/>
      <w:marBottom w:val="0"/>
      <w:divBdr>
        <w:top w:val="none" w:sz="0" w:space="0" w:color="auto"/>
        <w:left w:val="none" w:sz="0" w:space="0" w:color="auto"/>
        <w:bottom w:val="none" w:sz="0" w:space="0" w:color="auto"/>
        <w:right w:val="none" w:sz="0" w:space="0" w:color="auto"/>
      </w:divBdr>
      <w:divsChild>
        <w:div w:id="19551447">
          <w:marLeft w:val="0"/>
          <w:marRight w:val="0"/>
          <w:marTop w:val="0"/>
          <w:marBottom w:val="0"/>
          <w:divBdr>
            <w:top w:val="none" w:sz="0" w:space="0" w:color="auto"/>
            <w:left w:val="none" w:sz="0" w:space="0" w:color="auto"/>
            <w:bottom w:val="none" w:sz="0" w:space="0" w:color="auto"/>
            <w:right w:val="none" w:sz="0" w:space="0" w:color="auto"/>
          </w:divBdr>
        </w:div>
        <w:div w:id="136999836">
          <w:marLeft w:val="0"/>
          <w:marRight w:val="0"/>
          <w:marTop w:val="0"/>
          <w:marBottom w:val="0"/>
          <w:divBdr>
            <w:top w:val="none" w:sz="0" w:space="0" w:color="auto"/>
            <w:left w:val="none" w:sz="0" w:space="0" w:color="auto"/>
            <w:bottom w:val="none" w:sz="0" w:space="0" w:color="auto"/>
            <w:right w:val="none" w:sz="0" w:space="0" w:color="auto"/>
          </w:divBdr>
        </w:div>
        <w:div w:id="275067557">
          <w:marLeft w:val="0"/>
          <w:marRight w:val="0"/>
          <w:marTop w:val="0"/>
          <w:marBottom w:val="0"/>
          <w:divBdr>
            <w:top w:val="none" w:sz="0" w:space="0" w:color="auto"/>
            <w:left w:val="none" w:sz="0" w:space="0" w:color="auto"/>
            <w:bottom w:val="none" w:sz="0" w:space="0" w:color="auto"/>
            <w:right w:val="none" w:sz="0" w:space="0" w:color="auto"/>
          </w:divBdr>
        </w:div>
        <w:div w:id="277223431">
          <w:marLeft w:val="0"/>
          <w:marRight w:val="0"/>
          <w:marTop w:val="0"/>
          <w:marBottom w:val="0"/>
          <w:divBdr>
            <w:top w:val="none" w:sz="0" w:space="0" w:color="auto"/>
            <w:left w:val="none" w:sz="0" w:space="0" w:color="auto"/>
            <w:bottom w:val="none" w:sz="0" w:space="0" w:color="auto"/>
            <w:right w:val="none" w:sz="0" w:space="0" w:color="auto"/>
          </w:divBdr>
        </w:div>
        <w:div w:id="361327827">
          <w:marLeft w:val="0"/>
          <w:marRight w:val="0"/>
          <w:marTop w:val="0"/>
          <w:marBottom w:val="0"/>
          <w:divBdr>
            <w:top w:val="none" w:sz="0" w:space="0" w:color="auto"/>
            <w:left w:val="none" w:sz="0" w:space="0" w:color="auto"/>
            <w:bottom w:val="none" w:sz="0" w:space="0" w:color="auto"/>
            <w:right w:val="none" w:sz="0" w:space="0" w:color="auto"/>
          </w:divBdr>
        </w:div>
        <w:div w:id="424613308">
          <w:marLeft w:val="0"/>
          <w:marRight w:val="0"/>
          <w:marTop w:val="0"/>
          <w:marBottom w:val="0"/>
          <w:divBdr>
            <w:top w:val="none" w:sz="0" w:space="0" w:color="auto"/>
            <w:left w:val="none" w:sz="0" w:space="0" w:color="auto"/>
            <w:bottom w:val="none" w:sz="0" w:space="0" w:color="auto"/>
            <w:right w:val="none" w:sz="0" w:space="0" w:color="auto"/>
          </w:divBdr>
        </w:div>
        <w:div w:id="467668694">
          <w:marLeft w:val="0"/>
          <w:marRight w:val="0"/>
          <w:marTop w:val="0"/>
          <w:marBottom w:val="0"/>
          <w:divBdr>
            <w:top w:val="none" w:sz="0" w:space="0" w:color="auto"/>
            <w:left w:val="none" w:sz="0" w:space="0" w:color="auto"/>
            <w:bottom w:val="none" w:sz="0" w:space="0" w:color="auto"/>
            <w:right w:val="none" w:sz="0" w:space="0" w:color="auto"/>
          </w:divBdr>
        </w:div>
        <w:div w:id="562562513">
          <w:marLeft w:val="0"/>
          <w:marRight w:val="0"/>
          <w:marTop w:val="0"/>
          <w:marBottom w:val="0"/>
          <w:divBdr>
            <w:top w:val="none" w:sz="0" w:space="0" w:color="auto"/>
            <w:left w:val="none" w:sz="0" w:space="0" w:color="auto"/>
            <w:bottom w:val="none" w:sz="0" w:space="0" w:color="auto"/>
            <w:right w:val="none" w:sz="0" w:space="0" w:color="auto"/>
          </w:divBdr>
        </w:div>
        <w:div w:id="575480849">
          <w:marLeft w:val="0"/>
          <w:marRight w:val="0"/>
          <w:marTop w:val="0"/>
          <w:marBottom w:val="0"/>
          <w:divBdr>
            <w:top w:val="none" w:sz="0" w:space="0" w:color="auto"/>
            <w:left w:val="none" w:sz="0" w:space="0" w:color="auto"/>
            <w:bottom w:val="none" w:sz="0" w:space="0" w:color="auto"/>
            <w:right w:val="none" w:sz="0" w:space="0" w:color="auto"/>
          </w:divBdr>
        </w:div>
        <w:div w:id="578710953">
          <w:marLeft w:val="0"/>
          <w:marRight w:val="0"/>
          <w:marTop w:val="0"/>
          <w:marBottom w:val="0"/>
          <w:divBdr>
            <w:top w:val="none" w:sz="0" w:space="0" w:color="auto"/>
            <w:left w:val="none" w:sz="0" w:space="0" w:color="auto"/>
            <w:bottom w:val="none" w:sz="0" w:space="0" w:color="auto"/>
            <w:right w:val="none" w:sz="0" w:space="0" w:color="auto"/>
          </w:divBdr>
        </w:div>
        <w:div w:id="693386815">
          <w:marLeft w:val="0"/>
          <w:marRight w:val="0"/>
          <w:marTop w:val="0"/>
          <w:marBottom w:val="0"/>
          <w:divBdr>
            <w:top w:val="none" w:sz="0" w:space="0" w:color="auto"/>
            <w:left w:val="none" w:sz="0" w:space="0" w:color="auto"/>
            <w:bottom w:val="none" w:sz="0" w:space="0" w:color="auto"/>
            <w:right w:val="none" w:sz="0" w:space="0" w:color="auto"/>
          </w:divBdr>
        </w:div>
        <w:div w:id="890385301">
          <w:marLeft w:val="0"/>
          <w:marRight w:val="0"/>
          <w:marTop w:val="0"/>
          <w:marBottom w:val="0"/>
          <w:divBdr>
            <w:top w:val="none" w:sz="0" w:space="0" w:color="auto"/>
            <w:left w:val="none" w:sz="0" w:space="0" w:color="auto"/>
            <w:bottom w:val="none" w:sz="0" w:space="0" w:color="auto"/>
            <w:right w:val="none" w:sz="0" w:space="0" w:color="auto"/>
          </w:divBdr>
        </w:div>
        <w:div w:id="1085808109">
          <w:marLeft w:val="0"/>
          <w:marRight w:val="0"/>
          <w:marTop w:val="0"/>
          <w:marBottom w:val="0"/>
          <w:divBdr>
            <w:top w:val="none" w:sz="0" w:space="0" w:color="auto"/>
            <w:left w:val="none" w:sz="0" w:space="0" w:color="auto"/>
            <w:bottom w:val="none" w:sz="0" w:space="0" w:color="auto"/>
            <w:right w:val="none" w:sz="0" w:space="0" w:color="auto"/>
          </w:divBdr>
        </w:div>
        <w:div w:id="1193836446">
          <w:marLeft w:val="0"/>
          <w:marRight w:val="0"/>
          <w:marTop w:val="0"/>
          <w:marBottom w:val="0"/>
          <w:divBdr>
            <w:top w:val="none" w:sz="0" w:space="0" w:color="auto"/>
            <w:left w:val="none" w:sz="0" w:space="0" w:color="auto"/>
            <w:bottom w:val="none" w:sz="0" w:space="0" w:color="auto"/>
            <w:right w:val="none" w:sz="0" w:space="0" w:color="auto"/>
          </w:divBdr>
        </w:div>
        <w:div w:id="1230532136">
          <w:marLeft w:val="0"/>
          <w:marRight w:val="0"/>
          <w:marTop w:val="0"/>
          <w:marBottom w:val="0"/>
          <w:divBdr>
            <w:top w:val="none" w:sz="0" w:space="0" w:color="auto"/>
            <w:left w:val="none" w:sz="0" w:space="0" w:color="auto"/>
            <w:bottom w:val="none" w:sz="0" w:space="0" w:color="auto"/>
            <w:right w:val="none" w:sz="0" w:space="0" w:color="auto"/>
          </w:divBdr>
        </w:div>
        <w:div w:id="1257177528">
          <w:marLeft w:val="0"/>
          <w:marRight w:val="0"/>
          <w:marTop w:val="0"/>
          <w:marBottom w:val="0"/>
          <w:divBdr>
            <w:top w:val="none" w:sz="0" w:space="0" w:color="auto"/>
            <w:left w:val="none" w:sz="0" w:space="0" w:color="auto"/>
            <w:bottom w:val="none" w:sz="0" w:space="0" w:color="auto"/>
            <w:right w:val="none" w:sz="0" w:space="0" w:color="auto"/>
          </w:divBdr>
        </w:div>
        <w:div w:id="1278368041">
          <w:marLeft w:val="0"/>
          <w:marRight w:val="0"/>
          <w:marTop w:val="0"/>
          <w:marBottom w:val="0"/>
          <w:divBdr>
            <w:top w:val="none" w:sz="0" w:space="0" w:color="auto"/>
            <w:left w:val="none" w:sz="0" w:space="0" w:color="auto"/>
            <w:bottom w:val="none" w:sz="0" w:space="0" w:color="auto"/>
            <w:right w:val="none" w:sz="0" w:space="0" w:color="auto"/>
          </w:divBdr>
        </w:div>
        <w:div w:id="1324047303">
          <w:marLeft w:val="0"/>
          <w:marRight w:val="0"/>
          <w:marTop w:val="0"/>
          <w:marBottom w:val="0"/>
          <w:divBdr>
            <w:top w:val="none" w:sz="0" w:space="0" w:color="auto"/>
            <w:left w:val="none" w:sz="0" w:space="0" w:color="auto"/>
            <w:bottom w:val="none" w:sz="0" w:space="0" w:color="auto"/>
            <w:right w:val="none" w:sz="0" w:space="0" w:color="auto"/>
          </w:divBdr>
        </w:div>
        <w:div w:id="1811904354">
          <w:marLeft w:val="0"/>
          <w:marRight w:val="0"/>
          <w:marTop w:val="0"/>
          <w:marBottom w:val="0"/>
          <w:divBdr>
            <w:top w:val="none" w:sz="0" w:space="0" w:color="auto"/>
            <w:left w:val="none" w:sz="0" w:space="0" w:color="auto"/>
            <w:bottom w:val="none" w:sz="0" w:space="0" w:color="auto"/>
            <w:right w:val="none" w:sz="0" w:space="0" w:color="auto"/>
          </w:divBdr>
        </w:div>
        <w:div w:id="1863089751">
          <w:marLeft w:val="0"/>
          <w:marRight w:val="0"/>
          <w:marTop w:val="0"/>
          <w:marBottom w:val="0"/>
          <w:divBdr>
            <w:top w:val="none" w:sz="0" w:space="0" w:color="auto"/>
            <w:left w:val="none" w:sz="0" w:space="0" w:color="auto"/>
            <w:bottom w:val="none" w:sz="0" w:space="0" w:color="auto"/>
            <w:right w:val="none" w:sz="0" w:space="0" w:color="auto"/>
          </w:divBdr>
        </w:div>
        <w:div w:id="1881552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tsdalucas\Desktop\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Memo.dot</Template>
  <TotalTime>4</TotalTime>
  <Pages>3</Pages>
  <Words>1485</Words>
  <Characters>7910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If this information is incomplete please telephone the number shown below</vt:lpstr>
    </vt:vector>
  </TitlesOfParts>
  <Company>Hemisphere dmc</Company>
  <LinksUpToDate>false</LinksUpToDate>
  <CharactersWithSpaces>9377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this information is incomplete please telephone the number shown below</dc:title>
  <dc:creator>ctsdalucas</dc:creator>
  <cp:lastModifiedBy>jimmy.mcmanus</cp:lastModifiedBy>
  <cp:revision>3</cp:revision>
  <cp:lastPrinted>2014-10-01T13:42:00Z</cp:lastPrinted>
  <dcterms:created xsi:type="dcterms:W3CDTF">2017-08-24T07:50:00Z</dcterms:created>
  <dcterms:modified xsi:type="dcterms:W3CDTF">2017-08-24T07:59:00Z</dcterms:modified>
</cp:coreProperties>
</file>